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hint="default" w:ascii="黑体" w:hAnsi="黑体" w:eastAsia="黑体"/>
                <w:sz w:val="21"/>
                <w:szCs w:val="21"/>
                <w:lang w:val="en-US"/>
              </w:rPr>
            </w:pPr>
            <w:r>
              <w:rPr>
                <w:rFonts w:hint="default" w:ascii="黑体" w:hAnsi="黑体" w:eastAsia="黑体" w:cs="Times New Roman"/>
                <w:kern w:val="2"/>
                <w:sz w:val="21"/>
                <w:szCs w:val="21"/>
                <w:lang w:val="en-US" w:eastAsia="zh-CN" w:bidi="ar-SA"/>
              </w:rPr>
              <w:t>03.220.20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hint="default" w:ascii="黑体" w:hAnsi="黑体" w:eastAsia="黑体"/>
                <w:sz w:val="21"/>
                <w:szCs w:val="21"/>
                <w:lang w:val="en-US"/>
              </w:rPr>
            </w:pPr>
            <w:r>
              <w:rPr>
                <w:rFonts w:hint="default" w:ascii="黑体" w:hAnsi="黑体" w:eastAsia="黑体" w:cs="Times New Roman"/>
                <w:kern w:val="2"/>
                <w:sz w:val="21"/>
                <w:szCs w:val="21"/>
                <w:lang w:val="en-US" w:eastAsia="zh-CN" w:bidi="ar-SA"/>
              </w:rPr>
              <w:t>R 11</w:t>
            </w:r>
          </w:p>
        </w:tc>
      </w:tr>
    </w:tbl>
    <w:p>
      <w:pPr>
        <w:pStyle w:val="197"/>
      </w:pPr>
      <w:r>
        <w:t>T/</w:t>
      </w:r>
      <w:r>
        <w:fldChar w:fldCharType="begin">
          <w:ffData>
            <w:name w:val="文字1"/>
            <w:enabled/>
            <w:calcOnExit w:val="0"/>
            <w:textInput>
              <w:default w:val="XXX"/>
            </w:textInput>
          </w:ffData>
        </w:fldChar>
      </w:r>
      <w:bookmarkStart w:id="0" w:name="文字1"/>
      <w:r>
        <w:instrText xml:space="preserve"> FORMTEXT </w:instrText>
      </w:r>
      <w:r>
        <w:fldChar w:fldCharType="separate"/>
      </w:r>
      <w:r>
        <w:t>URTA</w:t>
      </w:r>
      <w:r>
        <w:fldChar w:fldCharType="end"/>
      </w:r>
      <w:bookmarkEnd w:id="0"/>
      <w:r>
        <w:t xml:space="preserve"> </w:t>
      </w:r>
      <w:bookmarkStart w:id="1" w:name="NSTD_CODE_F"/>
      <w:r>
        <w:rPr>
          <w:rFonts w:ascii="黑体" w:hAnsi="Times New Roman" w:eastAsia="黑体" w:cs="Times New Roman"/>
          <w:bCs/>
          <w:sz w:val="28"/>
          <w:szCs w:val="28"/>
          <w:lang w:val="en-US" w:eastAsia="zh-CN" w:bidi="ar-SA"/>
        </w:rPr>
        <w:fldChar w:fldCharType="begin">
          <w:ffData>
            <w:name w:val="NSTD_CODE_F"/>
            <w:enabled/>
            <w:calcOnExit w:val="0"/>
            <w:textInput>
              <w:default w:val="XXXX"/>
            </w:textInput>
          </w:ffData>
        </w:fldChar>
      </w:r>
      <w:r>
        <w:rPr>
          <w:rFonts w:ascii="黑体" w:hAnsi="Times New Roman" w:eastAsia="黑体" w:cs="Times New Roman"/>
          <w:bCs/>
          <w:sz w:val="28"/>
          <w:szCs w:val="28"/>
          <w:lang w:val="en-US" w:eastAsia="zh-CN" w:bidi="ar-SA"/>
        </w:rPr>
        <w:instrText xml:space="preserve">FORMTEXT</w:instrText>
      </w:r>
      <w:r>
        <w:rPr>
          <w:rFonts w:ascii="黑体" w:hAnsi="Times New Roman" w:eastAsia="黑体" w:cs="Times New Roman"/>
          <w:bCs/>
          <w:sz w:val="28"/>
          <w:szCs w:val="28"/>
          <w:lang w:val="en-US" w:eastAsia="zh-CN" w:bidi="ar-SA"/>
        </w:rPr>
        <w:fldChar w:fldCharType="separate"/>
      </w:r>
      <w:r>
        <w:rPr>
          <w:rFonts w:ascii="黑体" w:hAnsi="Times New Roman" w:eastAsia="黑体" w:cs="Times New Roman"/>
          <w:bCs/>
          <w:sz w:val="28"/>
          <w:szCs w:val="28"/>
          <w:lang w:val="en-US" w:eastAsia="zh-CN" w:bidi="ar-SA"/>
        </w:rPr>
        <w:t>XXXX</w:t>
      </w:r>
      <w:r>
        <w:rPr>
          <w:rFonts w:ascii="黑体" w:hAnsi="Times New Roman" w:eastAsia="黑体" w:cs="Times New Roman"/>
          <w:bCs/>
          <w:sz w:val="28"/>
          <w:szCs w:val="28"/>
          <w:lang w:val="en-US" w:eastAsia="zh-CN" w:bidi="ar-SA"/>
        </w:rPr>
        <w:fldChar w:fldCharType="end"/>
      </w:r>
      <w:bookmarkEnd w:id="1"/>
      <w:r>
        <w:rPr>
          <w:rFonts w:hAnsi="黑体"/>
        </w:rPr>
        <w:t>—</w:t>
      </w:r>
      <w:bookmarkStart w:id="2" w:name="NSTD_CODE_B"/>
      <w:r>
        <w:rPr>
          <w:rFonts w:ascii="黑体" w:hAnsi="Times New Roman" w:eastAsia="黑体" w:cs="Times New Roman"/>
          <w:bCs/>
          <w:sz w:val="28"/>
          <w:szCs w:val="28"/>
          <w:lang w:val="en-US" w:eastAsia="zh-CN" w:bidi="ar-SA"/>
        </w:rPr>
        <w:fldChar w:fldCharType="begin">
          <w:ffData>
            <w:name w:val="NSTD_CODE_B"/>
            <w:enabled/>
            <w:calcOnExit w:val="0"/>
            <w:textInput>
              <w:default w:val="2022"/>
            </w:textInput>
          </w:ffData>
        </w:fldChar>
      </w:r>
      <w:r>
        <w:rPr>
          <w:rFonts w:ascii="黑体" w:hAnsi="Times New Roman" w:eastAsia="黑体" w:cs="Times New Roman"/>
          <w:bCs/>
          <w:sz w:val="28"/>
          <w:szCs w:val="28"/>
          <w:lang w:val="en-US" w:eastAsia="zh-CN" w:bidi="ar-SA"/>
        </w:rPr>
        <w:instrText xml:space="preserve">FORMTEXT</w:instrText>
      </w:r>
      <w:r>
        <w:rPr>
          <w:rFonts w:ascii="黑体" w:hAnsi="Times New Roman" w:eastAsia="黑体" w:cs="Times New Roman"/>
          <w:bCs/>
          <w:sz w:val="28"/>
          <w:szCs w:val="28"/>
          <w:lang w:val="en-US" w:eastAsia="zh-CN" w:bidi="ar-SA"/>
        </w:rPr>
        <w:fldChar w:fldCharType="separate"/>
      </w:r>
      <w:r>
        <w:rPr>
          <w:rFonts w:ascii="黑体" w:hAnsi="Times New Roman" w:eastAsia="黑体" w:cs="Times New Roman"/>
          <w:bCs/>
          <w:sz w:val="28"/>
          <w:szCs w:val="28"/>
          <w:lang w:val="en-US" w:eastAsia="zh-CN" w:bidi="ar-SA"/>
        </w:rPr>
        <w:t>2022</w:t>
      </w:r>
      <w:r>
        <w:rPr>
          <w:rFonts w:ascii="黑体" w:hAnsi="Times New Roman" w:eastAsia="黑体" w:cs="Times New Roman"/>
          <w:bCs/>
          <w:sz w:val="28"/>
          <w:szCs w:val="28"/>
          <w:lang w:val="en-US" w:eastAsia="zh-CN" w:bidi="ar-SA"/>
        </w:rPr>
        <w:fldChar w:fldCharType="end"/>
      </w:r>
      <w:bookmarkEnd w:id="2"/>
    </w:p>
    <w:p>
      <w:pPr>
        <w:pStyle w:val="198"/>
        <w:rPr>
          <w:rFonts w:hAnsi="黑体"/>
        </w:rPr>
      </w:pPr>
      <w:r>
        <w:rPr>
          <w:rFonts w:hAnsi="黑体"/>
        </w:rPr>
        <w:fldChar w:fldCharType="begin">
          <w:ffData>
            <w:name w:val="OSTD_CODE"/>
            <w:enabled/>
            <w:calcOnExit w:val="0"/>
            <w:textInput/>
          </w:ffData>
        </w:fldChar>
      </w:r>
      <w:bookmarkStart w:id="3"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3"/>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2"/>
        <w:framePr w:w="9639" w:h="6976" w:hRule="exact" w:hSpace="0" w:vSpace="0" w:hAnchor="page" w:y="6408"/>
        <w:jc w:val="center"/>
        <w:rPr>
          <w:rFonts w:ascii="黑体" w:hAnsi="黑体" w:eastAsia="黑体"/>
          <w:b w:val="0"/>
          <w:bCs w:val="0"/>
          <w:w w:val="100"/>
        </w:rPr>
      </w:pPr>
    </w:p>
    <w:p>
      <w:pPr>
        <w:pStyle w:val="199"/>
        <w:framePr w:h="6974" w:hRule="exact" w:x="1419" w:anchorLock="1"/>
      </w:pPr>
      <w:bookmarkStart w:id="4" w:name="CSTD_NAME"/>
      <w:bookmarkStart w:id="351" w:name="_GoBack"/>
      <w:r>
        <w:rPr>
          <w:rFonts w:ascii="黑体" w:hAnsi="黑体" w:eastAsia="黑体" w:cs="Times New Roman"/>
          <w:bCs/>
          <w:sz w:val="52"/>
          <w:lang w:val="en-US" w:eastAsia="zh-CN" w:bidi="ar-SA"/>
        </w:rPr>
        <w:fldChar w:fldCharType="begin">
          <w:ffData>
            <w:name w:val="CSTD_NAME"/>
            <w:enabled/>
            <w:calcOnExit w:val="0"/>
            <w:textInput>
              <w:default w:val="导轨式胶轮系统行车组织管理规范"/>
            </w:textInput>
          </w:ffData>
        </w:fldChar>
      </w:r>
      <w:r>
        <w:rPr>
          <w:rFonts w:ascii="黑体" w:hAnsi="黑体" w:eastAsia="黑体" w:cs="Times New Roman"/>
          <w:bCs/>
          <w:sz w:val="52"/>
          <w:lang w:val="en-US" w:eastAsia="zh-CN" w:bidi="ar-SA"/>
        </w:rPr>
        <w:instrText xml:space="preserve">FORMTEXT</w:instrText>
      </w:r>
      <w:r>
        <w:rPr>
          <w:rFonts w:ascii="黑体" w:hAnsi="黑体" w:eastAsia="黑体" w:cs="Times New Roman"/>
          <w:bCs/>
          <w:sz w:val="52"/>
          <w:lang w:val="en-US" w:eastAsia="zh-CN" w:bidi="ar-SA"/>
        </w:rPr>
        <w:fldChar w:fldCharType="separate"/>
      </w:r>
      <w:r>
        <w:rPr>
          <w:rFonts w:ascii="黑体" w:hAnsi="黑体" w:eastAsia="黑体" w:cs="Times New Roman"/>
          <w:bCs/>
          <w:sz w:val="52"/>
          <w:lang w:val="en-US" w:eastAsia="zh-CN" w:bidi="ar-SA"/>
        </w:rPr>
        <w:t>导轨式胶轮系统行车组织管理规范</w:t>
      </w:r>
      <w:r>
        <w:rPr>
          <w:rFonts w:ascii="黑体" w:hAnsi="黑体" w:eastAsia="黑体" w:cs="Times New Roman"/>
          <w:bCs/>
          <w:sz w:val="52"/>
          <w:lang w:val="en-US" w:eastAsia="zh-CN" w:bidi="ar-SA"/>
        </w:rPr>
        <w:fldChar w:fldCharType="end"/>
      </w:r>
      <w:bookmarkEnd w:id="4"/>
      <w:bookmarkEnd w:id="351"/>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eastAsia="黑体"/>
          <w:szCs w:val="28"/>
        </w:rPr>
      </w:pPr>
      <w:bookmarkStart w:id="5" w:name="ESTD_NAME"/>
      <w:r>
        <w:rPr>
          <w:rFonts w:ascii="Times New Roman" w:hAnsi="Times New Roman" w:eastAsia="黑体" w:cs="Times New Roman"/>
          <w:sz w:val="28"/>
          <w:szCs w:val="28"/>
          <w:lang w:val="en-US" w:eastAsia="zh-CN" w:bidi="ar-SA"/>
        </w:rPr>
        <w:fldChar w:fldCharType="begin">
          <w:ffData>
            <w:name w:val="ESTD_NAME"/>
            <w:enabled/>
            <w:calcOnExit w:val="0"/>
            <w:textInput>
              <w:default w:val="Specifications for train operation organization management of beam-guiding rubber-tyred tram system"/>
            </w:textInput>
          </w:ffData>
        </w:fldChar>
      </w:r>
      <w:r>
        <w:rPr>
          <w:rFonts w:ascii="Times New Roman" w:hAnsi="Times New Roman" w:eastAsia="黑体" w:cs="Times New Roman"/>
          <w:sz w:val="28"/>
          <w:szCs w:val="28"/>
          <w:lang w:val="en-US" w:eastAsia="zh-CN" w:bidi="ar-SA"/>
        </w:rPr>
        <w:instrText xml:space="preserve">FORMTEXT</w:instrText>
      </w:r>
      <w:r>
        <w:rPr>
          <w:rFonts w:ascii="Times New Roman" w:hAnsi="Times New Roman" w:eastAsia="黑体" w:cs="Times New Roman"/>
          <w:sz w:val="28"/>
          <w:szCs w:val="28"/>
          <w:lang w:val="en-US" w:eastAsia="zh-CN" w:bidi="ar-SA"/>
        </w:rPr>
        <w:fldChar w:fldCharType="separate"/>
      </w:r>
      <w:r>
        <w:rPr>
          <w:rFonts w:ascii="Times New Roman" w:hAnsi="Times New Roman" w:eastAsia="黑体" w:cs="Times New Roman"/>
          <w:sz w:val="28"/>
          <w:szCs w:val="28"/>
          <w:lang w:val="en-US" w:eastAsia="zh-CN" w:bidi="ar-SA"/>
        </w:rPr>
        <w:t>Specifications for train operation organization management of beam-guiding rubber-tyred tram system</w:t>
      </w:r>
      <w:r>
        <w:rPr>
          <w:rFonts w:ascii="Times New Roman" w:hAnsi="Times New Roman" w:eastAsia="黑体" w:cs="Times New Roman"/>
          <w:sz w:val="28"/>
          <w:szCs w:val="28"/>
          <w:lang w:val="en-US" w:eastAsia="zh-CN" w:bidi="ar-SA"/>
        </w:rPr>
        <w:fldChar w:fldCharType="end"/>
      </w:r>
      <w:bookmarkEnd w:id="5"/>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720" w:beforeLines="300" w:after="72" w:afterLines="30" w:line="240" w:lineRule="auto"/>
        <w:textAlignment w:val="bottom"/>
        <w:rPr>
          <w:b/>
          <w:sz w:val="21"/>
          <w:szCs w:val="28"/>
        </w:rPr>
      </w:pPr>
    </w:p>
    <w:p>
      <w:pPr>
        <w:pStyle w:val="195"/>
        <w:framePr w:y="14176"/>
      </w:pPr>
      <w:bookmarkStart w:id="6" w:name="PLSH_DATE_Y"/>
      <w:r>
        <w:rPr>
          <w:rFonts w:ascii="黑体" w:hAnsi="Times New Roman" w:eastAsia="黑体" w:cs="Times New Roman"/>
          <w:sz w:val="28"/>
          <w:lang w:val="en-US" w:eastAsia="zh-CN" w:bidi="ar-SA"/>
        </w:rPr>
        <w:fldChar w:fldCharType="begin">
          <w:ffData>
            <w:name w:val="PLSH_DATE_Y"/>
            <w:enabled/>
            <w:calcOnExit w:val="0"/>
            <w:textInput>
              <w:default w:val="2022"/>
              <w:maxLength w:val="4"/>
            </w:textInput>
          </w:ffData>
        </w:fldChar>
      </w:r>
      <w:r>
        <w:rPr>
          <w:rFonts w:ascii="黑体" w:hAnsi="Times New Roman" w:eastAsia="黑体" w:cs="Times New Roman"/>
          <w:sz w:val="28"/>
          <w:lang w:val="en-US" w:eastAsia="zh-CN" w:bidi="ar-SA"/>
        </w:rPr>
        <w:instrText xml:space="preserve">FORMTEXT</w:instrText>
      </w:r>
      <w:r>
        <w:rPr>
          <w:rFonts w:ascii="黑体" w:hAnsi="Times New Roman" w:eastAsia="黑体" w:cs="Times New Roman"/>
          <w:sz w:val="28"/>
          <w:lang w:val="en-US" w:eastAsia="zh-CN" w:bidi="ar-SA"/>
        </w:rPr>
        <w:fldChar w:fldCharType="separate"/>
      </w:r>
      <w:r>
        <w:rPr>
          <w:rFonts w:ascii="黑体" w:hAnsi="Times New Roman" w:eastAsia="黑体" w:cs="Times New Roman"/>
          <w:sz w:val="28"/>
          <w:lang w:val="en-US" w:eastAsia="zh-CN" w:bidi="ar-SA"/>
        </w:rPr>
        <w:t>2022</w:t>
      </w:r>
      <w:r>
        <w:rPr>
          <w:rFonts w:ascii="黑体" w:hAnsi="Times New Roman" w:eastAsia="黑体" w:cs="Times New Roman"/>
          <w:sz w:val="28"/>
          <w:lang w:val="en-US" w:eastAsia="zh-CN" w:bidi="ar-SA"/>
        </w:rPr>
        <w:fldChar w:fldCharType="end"/>
      </w:r>
      <w:bookmarkEnd w:id="6"/>
      <w:r>
        <w:t xml:space="preserve"> </w:t>
      </w:r>
      <w:r>
        <w:rPr>
          <w:rFonts w:ascii="黑体"/>
        </w:rPr>
        <w:t>-</w:t>
      </w:r>
      <w:r>
        <w:t xml:space="preserve"> </w:t>
      </w:r>
      <w:bookmarkStart w:id="7" w:name="PLSH_DATE_M"/>
      <w:r>
        <w:rPr>
          <w:rFonts w:hint="eastAsia" w:ascii="黑体" w:hAnsi="Times New Roman" w:eastAsia="黑体" w:cs="Times New Roman"/>
          <w:sz w:val="28"/>
          <w:lang w:val="en-US" w:eastAsia="zh-CN" w:bidi="ar-SA"/>
        </w:rPr>
        <w:fldChar w:fldCharType="begin">
          <w:ffData>
            <w:name w:val="PLSH_DATE_M"/>
            <w:enabled/>
            <w:calcOnExit w:val="0"/>
            <w:textInput>
              <w:default w:val="XX"/>
              <w:maxLength w:val="2"/>
            </w:textInput>
          </w:ffData>
        </w:fldChar>
      </w:r>
      <w:r>
        <w:rPr>
          <w:rFonts w:hint="eastAsia" w:ascii="黑体" w:hAnsi="Times New Roman" w:eastAsia="黑体" w:cs="Times New Roman"/>
          <w:sz w:val="28"/>
          <w:lang w:val="en-US" w:eastAsia="zh-CN" w:bidi="ar-SA"/>
        </w:rPr>
        <w:instrText xml:space="preserve">FORMTEXT</w:instrText>
      </w:r>
      <w:r>
        <w:rPr>
          <w:rFonts w:hint="eastAsia" w:ascii="黑体" w:hAnsi="Times New Roman" w:eastAsia="黑体" w:cs="Times New Roman"/>
          <w:sz w:val="28"/>
          <w:lang w:val="en-US" w:eastAsia="zh-CN" w:bidi="ar-SA"/>
        </w:rPr>
        <w:fldChar w:fldCharType="separate"/>
      </w:r>
      <w:r>
        <w:rPr>
          <w:rFonts w:hint="eastAsia" w:ascii="黑体" w:hAnsi="Times New Roman" w:eastAsia="黑体" w:cs="Times New Roman"/>
          <w:sz w:val="28"/>
          <w:lang w:val="en-US" w:eastAsia="zh-CN" w:bidi="ar-SA"/>
        </w:rPr>
        <w:t>XX</w:t>
      </w:r>
      <w:r>
        <w:rPr>
          <w:rFonts w:hint="eastAsia" w:ascii="黑体" w:hAnsi="Times New Roman" w:eastAsia="黑体" w:cs="Times New Roman"/>
          <w:sz w:val="28"/>
          <w:lang w:val="en-US" w:eastAsia="zh-CN" w:bidi="ar-SA"/>
        </w:rPr>
        <w:fldChar w:fldCharType="end"/>
      </w:r>
      <w:bookmarkEnd w:id="7"/>
      <w:r>
        <w:t xml:space="preserve"> </w:t>
      </w:r>
      <w:r>
        <w:rPr>
          <w:rFonts w:ascii="黑体"/>
        </w:rPr>
        <w:t>-</w:t>
      </w:r>
      <w:r>
        <w:t xml:space="preserve"> </w:t>
      </w:r>
      <w:bookmarkStart w:id="8" w:name="PLSH_DATE_D"/>
      <w:r>
        <w:rPr>
          <w:rFonts w:hint="eastAsia" w:ascii="黑体" w:hAnsi="Times New Roman" w:eastAsia="黑体" w:cs="Times New Roman"/>
          <w:sz w:val="28"/>
          <w:lang w:val="en-US" w:eastAsia="zh-CN" w:bidi="ar-SA"/>
        </w:rPr>
        <w:fldChar w:fldCharType="begin">
          <w:ffData>
            <w:name w:val="PLSH_DATE_D"/>
            <w:enabled/>
            <w:calcOnExit w:val="0"/>
            <w:textInput>
              <w:default w:val="XX"/>
              <w:maxLength w:val="2"/>
            </w:textInput>
          </w:ffData>
        </w:fldChar>
      </w:r>
      <w:r>
        <w:rPr>
          <w:rFonts w:hint="eastAsia" w:ascii="黑体" w:hAnsi="Times New Roman" w:eastAsia="黑体" w:cs="Times New Roman"/>
          <w:sz w:val="28"/>
          <w:lang w:val="en-US" w:eastAsia="zh-CN" w:bidi="ar-SA"/>
        </w:rPr>
        <w:instrText xml:space="preserve">FORMTEXT</w:instrText>
      </w:r>
      <w:r>
        <w:rPr>
          <w:rFonts w:hint="eastAsia" w:ascii="黑体" w:hAnsi="Times New Roman" w:eastAsia="黑体" w:cs="Times New Roman"/>
          <w:sz w:val="28"/>
          <w:lang w:val="en-US" w:eastAsia="zh-CN" w:bidi="ar-SA"/>
        </w:rPr>
        <w:fldChar w:fldCharType="separate"/>
      </w:r>
      <w:r>
        <w:rPr>
          <w:rFonts w:hint="eastAsia" w:ascii="黑体" w:hAnsi="Times New Roman" w:eastAsia="黑体" w:cs="Times New Roman"/>
          <w:sz w:val="28"/>
          <w:lang w:val="en-US" w:eastAsia="zh-CN" w:bidi="ar-SA"/>
        </w:rPr>
        <w:t>XX</w:t>
      </w:r>
      <w:r>
        <w:rPr>
          <w:rFonts w:hint="eastAsia" w:ascii="黑体" w:hAnsi="Times New Roman" w:eastAsia="黑体" w:cs="Times New Roman"/>
          <w:sz w:val="28"/>
          <w:lang w:val="en-US" w:eastAsia="zh-CN" w:bidi="ar-SA"/>
        </w:rPr>
        <w:fldChar w:fldCharType="end"/>
      </w:r>
      <w:bookmarkEnd w:id="8"/>
      <w:r>
        <w:rPr>
          <w:rFonts w:hint="eastAsia"/>
        </w:rPr>
        <w:t>发布</w:t>
      </w:r>
    </w:p>
    <w:p>
      <w:pPr>
        <w:pStyle w:val="196"/>
        <w:framePr w:y="14176"/>
      </w:pPr>
      <w:bookmarkStart w:id="9" w:name="CROT_DATE_Y"/>
      <w:r>
        <w:rPr>
          <w:rFonts w:ascii="黑体" w:hAnsi="Times New Roman" w:eastAsia="黑体" w:cs="Times New Roman"/>
          <w:sz w:val="28"/>
          <w:lang w:val="en-US" w:eastAsia="zh-CN" w:bidi="ar-SA"/>
        </w:rPr>
        <w:fldChar w:fldCharType="begin">
          <w:ffData>
            <w:name w:val="CROT_DATE_Y"/>
            <w:enabled/>
            <w:calcOnExit w:val="0"/>
            <w:textInput>
              <w:default w:val="2022"/>
              <w:maxLength w:val="4"/>
            </w:textInput>
          </w:ffData>
        </w:fldChar>
      </w:r>
      <w:r>
        <w:rPr>
          <w:rFonts w:ascii="黑体" w:hAnsi="Times New Roman" w:eastAsia="黑体" w:cs="Times New Roman"/>
          <w:sz w:val="28"/>
          <w:lang w:val="en-US" w:eastAsia="zh-CN" w:bidi="ar-SA"/>
        </w:rPr>
        <w:instrText xml:space="preserve">FORMTEXT</w:instrText>
      </w:r>
      <w:r>
        <w:rPr>
          <w:rFonts w:ascii="黑体" w:hAnsi="Times New Roman" w:eastAsia="黑体" w:cs="Times New Roman"/>
          <w:sz w:val="28"/>
          <w:lang w:val="en-US" w:eastAsia="zh-CN" w:bidi="ar-SA"/>
        </w:rPr>
        <w:fldChar w:fldCharType="separate"/>
      </w:r>
      <w:r>
        <w:rPr>
          <w:rFonts w:ascii="黑体" w:hAnsi="Times New Roman" w:eastAsia="黑体" w:cs="Times New Roman"/>
          <w:sz w:val="28"/>
          <w:lang w:val="en-US" w:eastAsia="zh-CN" w:bidi="ar-SA"/>
        </w:rPr>
        <w:t>2022</w:t>
      </w:r>
      <w:r>
        <w:rPr>
          <w:rFonts w:ascii="黑体" w:hAnsi="Times New Roman" w:eastAsia="黑体" w:cs="Times New Roman"/>
          <w:sz w:val="28"/>
          <w:lang w:val="en-US" w:eastAsia="zh-CN" w:bidi="ar-SA"/>
        </w:rPr>
        <w:fldChar w:fldCharType="end"/>
      </w:r>
      <w:bookmarkEnd w:id="9"/>
      <w:r>
        <w:t xml:space="preserve"> </w:t>
      </w:r>
      <w:r>
        <w:rPr>
          <w:rFonts w:ascii="黑体"/>
        </w:rPr>
        <w:t>-</w:t>
      </w:r>
      <w:r>
        <w:t xml:space="preserve"> </w:t>
      </w:r>
      <w:bookmarkStart w:id="10" w:name="CROT_DATE_M"/>
      <w:r>
        <w:rPr>
          <w:rFonts w:hint="eastAsia" w:ascii="黑体" w:hAnsi="Times New Roman" w:eastAsia="黑体" w:cs="Times New Roman"/>
          <w:sz w:val="28"/>
          <w:lang w:val="en-US" w:eastAsia="zh-CN" w:bidi="ar-SA"/>
        </w:rPr>
        <w:fldChar w:fldCharType="begin">
          <w:ffData>
            <w:name w:val="CROT_DATE_M"/>
            <w:enabled/>
            <w:calcOnExit w:val="0"/>
            <w:textInput>
              <w:default w:val="XX"/>
              <w:maxLength w:val="2"/>
            </w:textInput>
          </w:ffData>
        </w:fldChar>
      </w:r>
      <w:r>
        <w:rPr>
          <w:rFonts w:hint="eastAsia" w:ascii="黑体" w:hAnsi="Times New Roman" w:eastAsia="黑体" w:cs="Times New Roman"/>
          <w:sz w:val="28"/>
          <w:lang w:val="en-US" w:eastAsia="zh-CN" w:bidi="ar-SA"/>
        </w:rPr>
        <w:instrText xml:space="preserve">FORMTEXT</w:instrText>
      </w:r>
      <w:r>
        <w:rPr>
          <w:rFonts w:hint="eastAsia" w:ascii="黑体" w:hAnsi="Times New Roman" w:eastAsia="黑体" w:cs="Times New Roman"/>
          <w:sz w:val="28"/>
          <w:lang w:val="en-US" w:eastAsia="zh-CN" w:bidi="ar-SA"/>
        </w:rPr>
        <w:fldChar w:fldCharType="separate"/>
      </w:r>
      <w:r>
        <w:rPr>
          <w:rFonts w:hint="eastAsia" w:ascii="黑体" w:hAnsi="Times New Roman" w:eastAsia="黑体" w:cs="Times New Roman"/>
          <w:sz w:val="28"/>
          <w:lang w:val="en-US" w:eastAsia="zh-CN" w:bidi="ar-SA"/>
        </w:rPr>
        <w:t>XX</w:t>
      </w:r>
      <w:r>
        <w:rPr>
          <w:rFonts w:hint="eastAsia" w:ascii="黑体" w:hAnsi="Times New Roman" w:eastAsia="黑体" w:cs="Times New Roman"/>
          <w:sz w:val="28"/>
          <w:lang w:val="en-US" w:eastAsia="zh-CN" w:bidi="ar-SA"/>
        </w:rPr>
        <w:fldChar w:fldCharType="end"/>
      </w:r>
      <w:bookmarkEnd w:id="10"/>
      <w:r>
        <w:t xml:space="preserve"> </w:t>
      </w:r>
      <w:r>
        <w:rPr>
          <w:rFonts w:ascii="黑体"/>
        </w:rPr>
        <w:t>-</w:t>
      </w:r>
      <w:r>
        <w:t xml:space="preserve"> </w:t>
      </w:r>
      <w:bookmarkStart w:id="11" w:name="CROT_DATE_D"/>
      <w:r>
        <w:rPr>
          <w:rFonts w:hint="eastAsia" w:ascii="黑体" w:hAnsi="Times New Roman" w:eastAsia="黑体" w:cs="Times New Roman"/>
          <w:sz w:val="28"/>
          <w:lang w:val="en-US" w:eastAsia="zh-CN" w:bidi="ar-SA"/>
        </w:rPr>
        <w:fldChar w:fldCharType="begin">
          <w:ffData>
            <w:name w:val="CROT_DATE_D"/>
            <w:enabled/>
            <w:calcOnExit w:val="0"/>
            <w:textInput>
              <w:default w:val="XX"/>
              <w:maxLength w:val="2"/>
            </w:textInput>
          </w:ffData>
        </w:fldChar>
      </w:r>
      <w:r>
        <w:rPr>
          <w:rFonts w:hint="eastAsia" w:ascii="黑体" w:hAnsi="Times New Roman" w:eastAsia="黑体" w:cs="Times New Roman"/>
          <w:sz w:val="28"/>
          <w:lang w:val="en-US" w:eastAsia="zh-CN" w:bidi="ar-SA"/>
        </w:rPr>
        <w:instrText xml:space="preserve">FORMTEXT</w:instrText>
      </w:r>
      <w:r>
        <w:rPr>
          <w:rFonts w:hint="eastAsia" w:ascii="黑体" w:hAnsi="Times New Roman" w:eastAsia="黑体" w:cs="Times New Roman"/>
          <w:sz w:val="28"/>
          <w:lang w:val="en-US" w:eastAsia="zh-CN" w:bidi="ar-SA"/>
        </w:rPr>
        <w:fldChar w:fldCharType="separate"/>
      </w:r>
      <w:r>
        <w:rPr>
          <w:rFonts w:hint="eastAsia" w:ascii="黑体" w:hAnsi="Times New Roman" w:eastAsia="黑体" w:cs="Times New Roman"/>
          <w:sz w:val="28"/>
          <w:lang w:val="en-US" w:eastAsia="zh-CN" w:bidi="ar-SA"/>
        </w:rPr>
        <w:t>XX</w:t>
      </w:r>
      <w:r>
        <w:rPr>
          <w:rFonts w:hint="eastAsia" w:ascii="黑体" w:hAnsi="Times New Roman" w:eastAsia="黑体" w:cs="Times New Roman"/>
          <w:sz w:val="28"/>
          <w:lang w:val="en-US" w:eastAsia="zh-CN" w:bidi="ar-SA"/>
        </w:rPr>
        <w:fldChar w:fldCharType="end"/>
      </w:r>
      <w:bookmarkEnd w:id="11"/>
      <w:r>
        <w:rPr>
          <w:rFonts w:hint="eastAsia"/>
        </w:rPr>
        <w:t>实施</w:t>
      </w:r>
    </w:p>
    <w:p>
      <w:pPr>
        <w:pStyle w:val="153"/>
        <w:framePr w:h="584" w:hRule="exact" w:hSpace="181" w:vSpace="181" w:y="14800"/>
        <w:rPr>
          <w:rFonts w:hAnsi="黑体"/>
        </w:rPr>
      </w:pPr>
      <w:r>
        <w:rPr>
          <w:rFonts w:hAnsi="黑体"/>
          <w:w w:val="100"/>
          <w:sz w:val="28"/>
        </w:rPr>
        <w:fldChar w:fldCharType="begin">
          <w:ffData>
            <w:name w:val="fm"/>
            <w:enabled/>
            <w:calcOnExit w:val="0"/>
            <w:textInput/>
          </w:ffData>
        </w:fldChar>
      </w:r>
      <w:bookmarkStart w:id="12" w:name="fm"/>
      <w:r>
        <w:rPr>
          <w:rFonts w:hAnsi="黑体"/>
          <w:w w:val="100"/>
          <w:sz w:val="28"/>
        </w:rPr>
        <w:instrText xml:space="preserve"> FORMTEXT </w:instrText>
      </w:r>
      <w:r>
        <w:rPr>
          <w:rFonts w:hAnsi="黑体"/>
          <w:w w:val="100"/>
          <w:sz w:val="28"/>
        </w:rPr>
        <w:fldChar w:fldCharType="separate"/>
      </w:r>
      <w:r>
        <w:rPr>
          <w:rFonts w:hint="eastAsia" w:hAnsi="黑体"/>
          <w:w w:val="100"/>
          <w:sz w:val="28"/>
        </w:rPr>
        <w:t>深圳市城市轨道交通协会</w:t>
      </w:r>
      <w:r>
        <w:rPr>
          <w:rFonts w:hAnsi="黑体"/>
          <w:w w:val="100"/>
          <w:sz w:val="28"/>
        </w:rPr>
        <w:fldChar w:fldCharType="end"/>
      </w:r>
      <w:bookmarkEnd w:id="12"/>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pStyle w:val="152"/>
        <w:framePr w:w="9405" w:hSpace="181" w:vSpace="181" w:wrap="around" w:vAnchor="page" w:hAnchor="page" w:x="1418" w:y="2031"/>
        <w:pBdr>
          <w:top w:val="none" w:color="auto" w:sz="0" w:space="0"/>
          <w:left w:val="none" w:color="auto" w:sz="0" w:space="0"/>
          <w:bottom w:val="none" w:color="auto" w:sz="0" w:space="0"/>
          <w:right w:val="none" w:color="auto" w:sz="0" w:space="0"/>
        </w:pBdr>
        <w:jc w:val="center"/>
        <w:rPr>
          <w:b/>
          <w:color w:val="000000"/>
          <w:spacing w:val="30"/>
          <w:sz w:val="84"/>
          <w:szCs w:val="84"/>
        </w:rPr>
      </w:pPr>
      <w:r>
        <w:rPr>
          <w:b/>
          <w:color w:val="000000"/>
          <w:spacing w:val="30"/>
          <w:sz w:val="84"/>
          <w:szCs w:val="84"/>
        </w:rPr>
        <w:fldChar w:fldCharType="begin">
          <w:ffData>
            <w:name w:val="c4"/>
            <w:enabled/>
            <w:calcOnExit w:val="0"/>
            <w:textInput>
              <w:default w:val="团体标准"/>
            </w:textInput>
          </w:ffData>
        </w:fldChar>
      </w:r>
      <w:r>
        <w:rPr>
          <w:b/>
          <w:color w:val="000000"/>
          <w:spacing w:val="30"/>
          <w:sz w:val="84"/>
          <w:szCs w:val="84"/>
        </w:rPr>
        <w:instrText xml:space="preserve"> FORMTEXT </w:instrText>
      </w:r>
      <w:r>
        <w:rPr>
          <w:b/>
          <w:color w:val="000000"/>
          <w:spacing w:val="30"/>
          <w:sz w:val="84"/>
          <w:szCs w:val="84"/>
        </w:rPr>
        <w:fldChar w:fldCharType="separate"/>
      </w:r>
      <w:r>
        <w:rPr>
          <w:b/>
          <w:color w:val="000000"/>
          <w:spacing w:val="30"/>
          <w:sz w:val="84"/>
          <w:szCs w:val="84"/>
        </w:rPr>
        <w:t>团</w:t>
      </w:r>
      <w:r>
        <w:rPr>
          <w:rFonts w:hint="eastAsia"/>
          <w:b/>
          <w:color w:val="000000"/>
          <w:spacing w:val="30"/>
          <w:sz w:val="84"/>
          <w:szCs w:val="84"/>
        </w:rPr>
        <w:t xml:space="preserve"> </w:t>
      </w:r>
      <w:r>
        <w:rPr>
          <w:b/>
          <w:color w:val="000000"/>
          <w:spacing w:val="30"/>
          <w:sz w:val="84"/>
          <w:szCs w:val="84"/>
        </w:rPr>
        <w:t xml:space="preserve">   体</w:t>
      </w:r>
      <w:r>
        <w:rPr>
          <w:rFonts w:hint="eastAsia"/>
          <w:b/>
          <w:color w:val="000000"/>
          <w:spacing w:val="30"/>
          <w:sz w:val="84"/>
          <w:szCs w:val="84"/>
        </w:rPr>
        <w:t xml:space="preserve"> </w:t>
      </w:r>
      <w:r>
        <w:rPr>
          <w:b/>
          <w:color w:val="000000"/>
          <w:spacing w:val="30"/>
          <w:sz w:val="84"/>
          <w:szCs w:val="84"/>
        </w:rPr>
        <w:t xml:space="preserve"> </w:t>
      </w:r>
      <w:r>
        <w:rPr>
          <w:rFonts w:hint="eastAsia"/>
          <w:b/>
          <w:color w:val="000000"/>
          <w:spacing w:val="30"/>
          <w:sz w:val="84"/>
          <w:szCs w:val="84"/>
        </w:rPr>
        <w:t xml:space="preserve">  </w:t>
      </w:r>
      <w:r>
        <w:rPr>
          <w:b/>
          <w:color w:val="000000"/>
          <w:spacing w:val="30"/>
          <w:sz w:val="84"/>
          <w:szCs w:val="84"/>
        </w:rPr>
        <w:t>标</w:t>
      </w:r>
      <w:r>
        <w:rPr>
          <w:rFonts w:hint="eastAsia"/>
          <w:b/>
          <w:color w:val="000000"/>
          <w:spacing w:val="30"/>
          <w:sz w:val="84"/>
          <w:szCs w:val="84"/>
        </w:rPr>
        <w:t xml:space="preserve">    </w:t>
      </w:r>
      <w:r>
        <w:rPr>
          <w:b/>
          <w:color w:val="000000"/>
          <w:spacing w:val="30"/>
          <w:sz w:val="84"/>
          <w:szCs w:val="84"/>
        </w:rPr>
        <w:t>准</w:t>
      </w:r>
      <w:r>
        <w:rPr>
          <w:b/>
          <w:color w:val="000000"/>
          <w:spacing w:val="30"/>
          <w:sz w:val="84"/>
          <w:szCs w:val="84"/>
        </w:rPr>
        <w:fldChar w:fldCharType="end"/>
      </w:r>
    </w:p>
    <w:p>
      <w:pPr>
        <w:rPr>
          <w:rFonts w:ascii="宋体" w:hAnsi="宋体"/>
          <w:sz w:val="28"/>
          <w:szCs w:val="28"/>
        </w:rPr>
        <w:sectPr>
          <w:headerReference r:id="rId5" w:type="first"/>
          <w:footerReference r:id="rId7" w:type="first"/>
          <w:headerReference r:id="rId3" w:type="default"/>
          <w:headerReference r:id="rId4" w:type="even"/>
          <w:footerReference r:id="rId6"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3"/>
        <w:spacing w:after="360"/>
      </w:pPr>
      <w:bookmarkStart w:id="13" w:name="BookMark1"/>
      <w:bookmarkStart w:id="14" w:name="_Toc82621522"/>
      <w:r>
        <w:rPr>
          <w:rFonts w:hint="eastAsia"/>
          <w:spacing w:val="320"/>
        </w:rPr>
        <w:t>目</w:t>
      </w:r>
      <w:r>
        <w:rPr>
          <w:rFonts w:hint="eastAsia"/>
        </w:rPr>
        <w:t>次</w:t>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TOC \o "1-1" \h \t "标准文件_一级条标题,2,标准文件_附录一级条标题,2," </w:instrText>
      </w:r>
      <w:r>
        <w:rPr>
          <w:rFonts w:hint="eastAsia" w:ascii="宋体" w:hAnsi="宋体" w:eastAsia="宋体" w:cs="宋体"/>
          <w:sz w:val="21"/>
          <w:szCs w:val="21"/>
        </w:rPr>
        <w:fldChar w:fldCharType="separate"/>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_Toc21822 </w:instrText>
      </w:r>
      <w:r>
        <w:rPr>
          <w:rFonts w:hint="eastAsia" w:ascii="宋体" w:hAnsi="宋体" w:eastAsia="宋体" w:cs="宋体"/>
          <w:sz w:val="21"/>
          <w:szCs w:val="21"/>
        </w:rPr>
        <w:fldChar w:fldCharType="separate"/>
      </w:r>
      <w:r>
        <w:rPr>
          <w:rFonts w:hint="eastAsia" w:ascii="宋体" w:hAnsi="宋体" w:eastAsia="宋体" w:cs="宋体"/>
          <w:sz w:val="21"/>
          <w:szCs w:val="21"/>
        </w:rPr>
        <w:t>前言</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_Toc21822 \h </w:instrText>
      </w:r>
      <w:r>
        <w:rPr>
          <w:rFonts w:hint="eastAsia" w:ascii="宋体" w:hAnsi="宋体" w:eastAsia="宋体" w:cs="宋体"/>
          <w:sz w:val="21"/>
          <w:szCs w:val="21"/>
        </w:rPr>
        <w:fldChar w:fldCharType="separate"/>
      </w:r>
      <w:r>
        <w:rPr>
          <w:rFonts w:hint="eastAsia" w:ascii="宋体" w:hAnsi="宋体" w:eastAsia="宋体" w:cs="宋体"/>
          <w:sz w:val="21"/>
          <w:szCs w:val="21"/>
        </w:rPr>
        <w:t>II</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_Toc20539 </w:instrText>
      </w:r>
      <w:r>
        <w:rPr>
          <w:rFonts w:hint="eastAsia" w:ascii="宋体" w:hAnsi="宋体" w:eastAsia="宋体" w:cs="宋体"/>
          <w:sz w:val="21"/>
          <w:szCs w:val="21"/>
        </w:rPr>
        <w:fldChar w:fldCharType="separate"/>
      </w:r>
      <w:r>
        <w:rPr>
          <w:rFonts w:hint="eastAsia" w:ascii="宋体" w:hAnsi="宋体" w:eastAsia="宋体" w:cs="宋体"/>
          <w:sz w:val="21"/>
          <w:szCs w:val="21"/>
        </w:rPr>
        <w:t>引言</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_Toc20539 \h </w:instrText>
      </w:r>
      <w:r>
        <w:rPr>
          <w:rFonts w:hint="eastAsia" w:ascii="宋体" w:hAnsi="宋体" w:eastAsia="宋体" w:cs="宋体"/>
          <w:sz w:val="21"/>
          <w:szCs w:val="21"/>
        </w:rPr>
        <w:fldChar w:fldCharType="separate"/>
      </w:r>
      <w:r>
        <w:rPr>
          <w:rFonts w:hint="eastAsia" w:ascii="宋体" w:hAnsi="宋体" w:eastAsia="宋体" w:cs="宋体"/>
          <w:sz w:val="21"/>
          <w:szCs w:val="21"/>
        </w:rPr>
        <w:t>III</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_Toc6982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1 </w:t>
      </w:r>
      <w:r>
        <w:rPr>
          <w:rFonts w:hint="eastAsia" w:ascii="宋体" w:hAnsi="宋体" w:eastAsia="宋体" w:cs="宋体"/>
          <w:i w:val="0"/>
          <w:sz w:val="21"/>
          <w:szCs w:val="21"/>
          <w:lang w:val="en-US"/>
        </w:rPr>
        <w:t xml:space="preserve"> </w:t>
      </w:r>
      <w:r>
        <w:rPr>
          <w:rFonts w:hint="eastAsia" w:ascii="宋体" w:hAnsi="宋体" w:eastAsia="宋体" w:cs="宋体"/>
          <w:sz w:val="21"/>
          <w:szCs w:val="21"/>
        </w:rPr>
        <w:t>范围</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_Toc6982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_Toc15634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2 </w:t>
      </w:r>
      <w:r>
        <w:rPr>
          <w:rFonts w:hint="eastAsia" w:ascii="宋体" w:hAnsi="宋体" w:eastAsia="宋体" w:cs="宋体"/>
          <w:i w:val="0"/>
          <w:sz w:val="21"/>
          <w:szCs w:val="21"/>
          <w:lang w:val="en-US"/>
        </w:rPr>
        <w:t xml:space="preserve"> </w:t>
      </w:r>
      <w:r>
        <w:rPr>
          <w:rFonts w:hint="eastAsia" w:ascii="宋体" w:hAnsi="宋体" w:eastAsia="宋体" w:cs="宋体"/>
          <w:sz w:val="21"/>
          <w:szCs w:val="21"/>
        </w:rPr>
        <w:t>规范性引用文件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_Toc15634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_Toc27158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3 </w:t>
      </w:r>
      <w:r>
        <w:rPr>
          <w:rFonts w:hint="eastAsia" w:ascii="宋体" w:hAnsi="宋体" w:eastAsia="宋体" w:cs="宋体"/>
          <w:i w:val="0"/>
          <w:sz w:val="21"/>
          <w:szCs w:val="21"/>
          <w:lang w:val="en-US"/>
        </w:rPr>
        <w:t xml:space="preserve"> </w:t>
      </w:r>
      <w:r>
        <w:rPr>
          <w:rFonts w:hint="eastAsia" w:ascii="宋体" w:hAnsi="宋体" w:eastAsia="宋体" w:cs="宋体"/>
          <w:sz w:val="21"/>
          <w:szCs w:val="21"/>
        </w:rPr>
        <w:t>术语和定义</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_Toc27158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_Toc6720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4  </w:t>
      </w:r>
      <w:r>
        <w:rPr>
          <w:rFonts w:hint="eastAsia" w:ascii="宋体" w:hAnsi="宋体" w:eastAsia="宋体" w:cs="宋体"/>
          <w:sz w:val="21"/>
          <w:szCs w:val="21"/>
          <w:lang w:val="en-US" w:eastAsia="zh-CN"/>
        </w:rPr>
        <w:t>基本要求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_Toc6720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_Toc22736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4.1</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一般要求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_Toc22736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_Toc4578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列车运行计划</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_Toc4578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_Toc8859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4.3</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调度指挥机构</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_Toc8859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_Toc11799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4.4</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调度命令</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_Toc11799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_Toc15965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4.5</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行车组织方法</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_Toc15965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_Toc29259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4.6</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列车运行</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_Toc29259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_Toc29040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4.7 </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行车记录</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_Toc29040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_Toc1958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5  </w:t>
      </w:r>
      <w:r>
        <w:rPr>
          <w:rFonts w:hint="eastAsia" w:ascii="宋体" w:hAnsi="宋体" w:eastAsia="宋体" w:cs="宋体"/>
          <w:sz w:val="21"/>
          <w:szCs w:val="21"/>
          <w:lang w:val="en-US" w:eastAsia="zh-CN"/>
        </w:rPr>
        <w:t>设备设施</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_Toc1958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_Toc7365 </w:instrText>
      </w:r>
      <w:r>
        <w:rPr>
          <w:rFonts w:hint="eastAsia" w:ascii="宋体" w:hAnsi="宋体" w:eastAsia="宋体" w:cs="宋体"/>
          <w:sz w:val="21"/>
          <w:szCs w:val="21"/>
        </w:rPr>
        <w:fldChar w:fldCharType="separate"/>
      </w:r>
      <w:r>
        <w:rPr>
          <w:rFonts w:hint="eastAsia" w:ascii="宋体" w:hAnsi="宋体" w:eastAsia="宋体" w:cs="宋体"/>
          <w:sz w:val="21"/>
          <w:szCs w:val="21"/>
        </w:rPr>
        <w:t>5.1</w:t>
      </w:r>
      <w:r>
        <w:rPr>
          <w:rFonts w:hint="eastAsia" w:ascii="宋体" w:hAnsi="宋体" w:eastAsia="宋体" w:cs="宋体"/>
          <w:sz w:val="21"/>
          <w:szCs w:val="21"/>
          <w:lang w:val="en-US"/>
        </w:rPr>
        <w:t xml:space="preserve"> </w:t>
      </w:r>
      <w:r>
        <w:rPr>
          <w:rFonts w:hint="eastAsia" w:ascii="宋体" w:hAnsi="宋体" w:eastAsia="宋体" w:cs="宋体"/>
          <w:sz w:val="21"/>
          <w:szCs w:val="21"/>
        </w:rPr>
        <w:t xml:space="preserve"> 一般要求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_Toc7365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_Toc24085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5.2 </w:t>
      </w:r>
      <w:r>
        <w:rPr>
          <w:rFonts w:hint="eastAsia" w:ascii="宋体" w:hAnsi="宋体" w:eastAsia="宋体" w:cs="宋体"/>
          <w:sz w:val="21"/>
          <w:szCs w:val="21"/>
          <w:lang w:val="en-US"/>
        </w:rPr>
        <w:t xml:space="preserve"> </w:t>
      </w:r>
      <w:r>
        <w:rPr>
          <w:rFonts w:hint="eastAsia" w:ascii="宋体" w:hAnsi="宋体" w:eastAsia="宋体" w:cs="宋体"/>
          <w:sz w:val="21"/>
          <w:szCs w:val="21"/>
        </w:rPr>
        <w:t>限界</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_Toc24085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_Toc16464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5.3 </w:t>
      </w:r>
      <w:r>
        <w:rPr>
          <w:rFonts w:hint="eastAsia" w:ascii="宋体" w:hAnsi="宋体" w:eastAsia="宋体" w:cs="宋体"/>
          <w:sz w:val="21"/>
          <w:szCs w:val="21"/>
          <w:lang w:val="en-US"/>
        </w:rPr>
        <w:t xml:space="preserve"> </w:t>
      </w:r>
      <w:r>
        <w:rPr>
          <w:rFonts w:hint="eastAsia" w:ascii="宋体" w:hAnsi="宋体" w:eastAsia="宋体" w:cs="宋体"/>
          <w:sz w:val="21"/>
          <w:szCs w:val="21"/>
        </w:rPr>
        <w:t>管理要求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_Toc16464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_Toc28301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6  </w:t>
      </w:r>
      <w:r>
        <w:rPr>
          <w:rFonts w:hint="eastAsia" w:ascii="宋体" w:hAnsi="宋体" w:eastAsia="宋体" w:cs="宋体"/>
          <w:sz w:val="21"/>
          <w:szCs w:val="21"/>
          <w:lang w:val="en-US" w:eastAsia="zh-CN"/>
        </w:rPr>
        <w:t>正常情况下的行车组织</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_Toc28301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_Toc20154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6.1 </w:t>
      </w:r>
      <w:r>
        <w:rPr>
          <w:rFonts w:hint="eastAsia" w:ascii="宋体" w:hAnsi="宋体" w:eastAsia="宋体" w:cs="宋体"/>
          <w:sz w:val="21"/>
          <w:szCs w:val="21"/>
          <w:lang w:val="en-US"/>
        </w:rPr>
        <w:t xml:space="preserve"> </w:t>
      </w:r>
      <w:r>
        <w:rPr>
          <w:rFonts w:hint="eastAsia" w:ascii="宋体" w:hAnsi="宋体" w:eastAsia="宋体" w:cs="宋体"/>
          <w:sz w:val="21"/>
          <w:szCs w:val="21"/>
        </w:rPr>
        <w:t>一般要求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_Toc20154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_Toc28791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6.2 </w:t>
      </w:r>
      <w:r>
        <w:rPr>
          <w:rFonts w:hint="eastAsia" w:ascii="宋体" w:hAnsi="宋体" w:eastAsia="宋体" w:cs="宋体"/>
          <w:sz w:val="21"/>
          <w:szCs w:val="21"/>
          <w:lang w:val="en-US"/>
        </w:rPr>
        <w:t xml:space="preserve"> </w:t>
      </w:r>
      <w:r>
        <w:rPr>
          <w:rFonts w:hint="eastAsia" w:ascii="宋体" w:hAnsi="宋体" w:eastAsia="宋体" w:cs="宋体"/>
          <w:sz w:val="21"/>
          <w:szCs w:val="21"/>
        </w:rPr>
        <w:t>运营前准备</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_Toc28791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_Toc31650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6.3 </w:t>
      </w:r>
      <w:r>
        <w:rPr>
          <w:rFonts w:hint="eastAsia" w:ascii="宋体" w:hAnsi="宋体" w:eastAsia="宋体" w:cs="宋体"/>
          <w:sz w:val="21"/>
          <w:szCs w:val="21"/>
          <w:lang w:val="en-US"/>
        </w:rPr>
        <w:t xml:space="preserve"> </w:t>
      </w:r>
      <w:r>
        <w:rPr>
          <w:rFonts w:hint="eastAsia" w:ascii="宋体" w:hAnsi="宋体" w:eastAsia="宋体" w:cs="宋体"/>
          <w:sz w:val="21"/>
          <w:szCs w:val="21"/>
        </w:rPr>
        <w:t>运营期间</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_Toc31650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_Toc9062 </w:instrText>
      </w:r>
      <w:r>
        <w:rPr>
          <w:rFonts w:hint="eastAsia" w:ascii="宋体" w:hAnsi="宋体" w:eastAsia="宋体" w:cs="宋体"/>
          <w:sz w:val="21"/>
          <w:szCs w:val="21"/>
        </w:rPr>
        <w:fldChar w:fldCharType="separate"/>
      </w:r>
      <w:r>
        <w:rPr>
          <w:rFonts w:hint="eastAsia" w:ascii="宋体" w:hAnsi="宋体" w:eastAsia="宋体" w:cs="宋体"/>
          <w:sz w:val="21"/>
          <w:szCs w:val="21"/>
        </w:rPr>
        <w:t>6.4</w:t>
      </w:r>
      <w:r>
        <w:rPr>
          <w:rFonts w:hint="eastAsia" w:ascii="宋体" w:hAnsi="宋体" w:eastAsia="宋体" w:cs="宋体"/>
          <w:sz w:val="21"/>
          <w:szCs w:val="21"/>
          <w:lang w:val="en-US"/>
        </w:rPr>
        <w:t xml:space="preserve"> </w:t>
      </w:r>
      <w:r>
        <w:rPr>
          <w:rFonts w:hint="eastAsia" w:ascii="宋体" w:hAnsi="宋体" w:eastAsia="宋体" w:cs="宋体"/>
          <w:sz w:val="21"/>
          <w:szCs w:val="21"/>
        </w:rPr>
        <w:t xml:space="preserve"> 运营结束</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_Toc9062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_Toc16637 </w:instrText>
      </w:r>
      <w:r>
        <w:rPr>
          <w:rFonts w:hint="eastAsia" w:ascii="宋体" w:hAnsi="宋体" w:eastAsia="宋体" w:cs="宋体"/>
          <w:sz w:val="21"/>
          <w:szCs w:val="21"/>
        </w:rPr>
        <w:fldChar w:fldCharType="separate"/>
      </w:r>
      <w:r>
        <w:rPr>
          <w:rFonts w:hint="eastAsia" w:ascii="宋体" w:hAnsi="宋体" w:eastAsia="宋体" w:cs="宋体"/>
          <w:sz w:val="21"/>
          <w:szCs w:val="21"/>
        </w:rPr>
        <w:t>6.5</w:t>
      </w:r>
      <w:r>
        <w:rPr>
          <w:rFonts w:hint="eastAsia" w:ascii="宋体" w:hAnsi="宋体" w:eastAsia="宋体" w:cs="宋体"/>
          <w:sz w:val="21"/>
          <w:szCs w:val="21"/>
          <w:lang w:val="en-US"/>
        </w:rPr>
        <w:t xml:space="preserve"> </w:t>
      </w:r>
      <w:r>
        <w:rPr>
          <w:rFonts w:hint="eastAsia" w:ascii="宋体" w:hAnsi="宋体" w:eastAsia="宋体" w:cs="宋体"/>
          <w:sz w:val="21"/>
          <w:szCs w:val="21"/>
        </w:rPr>
        <w:t xml:space="preserve"> 列车巡视</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_Toc16637 \h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_Toc6017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6.6 </w:t>
      </w:r>
      <w:r>
        <w:rPr>
          <w:rFonts w:hint="eastAsia" w:ascii="宋体" w:hAnsi="宋体" w:eastAsia="宋体" w:cs="宋体"/>
          <w:sz w:val="21"/>
          <w:szCs w:val="21"/>
          <w:lang w:val="en-US"/>
        </w:rPr>
        <w:t xml:space="preserve"> </w:t>
      </w:r>
      <w:r>
        <w:rPr>
          <w:rFonts w:hint="eastAsia" w:ascii="宋体" w:hAnsi="宋体" w:eastAsia="宋体" w:cs="宋体"/>
          <w:sz w:val="21"/>
          <w:szCs w:val="21"/>
        </w:rPr>
        <w:t>车站巡视</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_Toc6017 \h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_Toc31822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6.7 </w:t>
      </w:r>
      <w:r>
        <w:rPr>
          <w:rFonts w:hint="eastAsia" w:ascii="宋体" w:hAnsi="宋体" w:eastAsia="宋体" w:cs="宋体"/>
          <w:sz w:val="21"/>
          <w:szCs w:val="21"/>
          <w:lang w:val="en-US"/>
        </w:rPr>
        <w:t xml:space="preserve"> </w:t>
      </w:r>
      <w:r>
        <w:rPr>
          <w:rFonts w:hint="eastAsia" w:ascii="宋体" w:hAnsi="宋体" w:eastAsia="宋体" w:cs="宋体"/>
          <w:sz w:val="21"/>
          <w:szCs w:val="21"/>
          <w:lang w:eastAsia="zh-CN"/>
        </w:rPr>
        <w:t>综合</w:t>
      </w:r>
      <w:r>
        <w:rPr>
          <w:rFonts w:hint="eastAsia" w:ascii="宋体" w:hAnsi="宋体" w:eastAsia="宋体" w:cs="宋体"/>
          <w:sz w:val="21"/>
          <w:szCs w:val="21"/>
        </w:rPr>
        <w:t>车场行车组织</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_Toc31822 \h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_Toc19153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7  </w:t>
      </w:r>
      <w:r>
        <w:rPr>
          <w:rFonts w:hint="eastAsia" w:ascii="宋体" w:hAnsi="宋体" w:eastAsia="宋体" w:cs="宋体"/>
          <w:sz w:val="21"/>
          <w:szCs w:val="21"/>
          <w:lang w:val="en-US" w:eastAsia="zh-CN"/>
        </w:rPr>
        <w:t>非正常情况下的行车组织</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_Toc19153 \h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_Toc23223 </w:instrText>
      </w:r>
      <w:r>
        <w:rPr>
          <w:rFonts w:hint="eastAsia" w:ascii="宋体" w:hAnsi="宋体" w:eastAsia="宋体" w:cs="宋体"/>
          <w:sz w:val="21"/>
          <w:szCs w:val="21"/>
        </w:rPr>
        <w:fldChar w:fldCharType="separate"/>
      </w:r>
      <w:r>
        <w:rPr>
          <w:rFonts w:hint="eastAsia" w:ascii="宋体" w:hAnsi="宋体" w:eastAsia="宋体" w:cs="宋体"/>
          <w:sz w:val="21"/>
          <w:szCs w:val="21"/>
        </w:rPr>
        <w:t>7.1</w:t>
      </w:r>
      <w:r>
        <w:rPr>
          <w:rFonts w:hint="eastAsia" w:ascii="宋体" w:hAnsi="宋体" w:eastAsia="宋体" w:cs="宋体"/>
          <w:sz w:val="21"/>
          <w:szCs w:val="21"/>
          <w:lang w:val="en-US"/>
        </w:rPr>
        <w:t xml:space="preserve"> </w:t>
      </w:r>
      <w:r>
        <w:rPr>
          <w:rFonts w:hint="eastAsia" w:ascii="宋体" w:hAnsi="宋体" w:eastAsia="宋体" w:cs="宋体"/>
          <w:sz w:val="21"/>
          <w:szCs w:val="21"/>
        </w:rPr>
        <w:t xml:space="preserve"> 一般要求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_Toc23223 \h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_Toc17360 </w:instrText>
      </w:r>
      <w:r>
        <w:rPr>
          <w:rFonts w:hint="eastAsia" w:ascii="宋体" w:hAnsi="宋体" w:eastAsia="宋体" w:cs="宋体"/>
          <w:sz w:val="21"/>
          <w:szCs w:val="21"/>
        </w:rPr>
        <w:fldChar w:fldCharType="separate"/>
      </w:r>
      <w:r>
        <w:rPr>
          <w:rFonts w:hint="eastAsia" w:ascii="宋体" w:hAnsi="宋体" w:eastAsia="宋体" w:cs="宋体"/>
          <w:sz w:val="21"/>
          <w:szCs w:val="21"/>
        </w:rPr>
        <w:t>7.2</w:t>
      </w:r>
      <w:r>
        <w:rPr>
          <w:rFonts w:hint="eastAsia" w:ascii="宋体" w:hAnsi="宋体" w:eastAsia="宋体" w:cs="宋体"/>
          <w:sz w:val="21"/>
          <w:szCs w:val="21"/>
          <w:lang w:val="en-US"/>
        </w:rPr>
        <w:t xml:space="preserve"> </w:t>
      </w:r>
      <w:r>
        <w:rPr>
          <w:rFonts w:hint="eastAsia" w:ascii="宋体" w:hAnsi="宋体" w:eastAsia="宋体" w:cs="宋体"/>
          <w:sz w:val="21"/>
          <w:szCs w:val="21"/>
        </w:rPr>
        <w:t xml:space="preserve"> 行车调整</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_Toc17360 \h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_Toc20121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7.3 </w:t>
      </w:r>
      <w:r>
        <w:rPr>
          <w:rFonts w:hint="eastAsia" w:ascii="宋体" w:hAnsi="宋体" w:eastAsia="宋体" w:cs="宋体"/>
          <w:sz w:val="21"/>
          <w:szCs w:val="21"/>
          <w:lang w:val="en-US"/>
        </w:rPr>
        <w:t xml:space="preserve"> </w:t>
      </w:r>
      <w:r>
        <w:rPr>
          <w:rFonts w:hint="eastAsia" w:ascii="宋体" w:hAnsi="宋体" w:eastAsia="宋体" w:cs="宋体"/>
          <w:sz w:val="21"/>
          <w:szCs w:val="21"/>
        </w:rPr>
        <w:t>设备故障时的行车组织</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_Toc20121 \h </w:instrText>
      </w:r>
      <w:r>
        <w:rPr>
          <w:rFonts w:hint="eastAsia" w:ascii="宋体" w:hAnsi="宋体" w:eastAsia="宋体" w:cs="宋体"/>
          <w:sz w:val="21"/>
          <w:szCs w:val="21"/>
        </w:rPr>
        <w:fldChar w:fldCharType="separate"/>
      </w:r>
      <w:r>
        <w:rPr>
          <w:rFonts w:hint="eastAsia" w:ascii="宋体" w:hAnsi="宋体" w:eastAsia="宋体" w:cs="宋体"/>
          <w:sz w:val="21"/>
          <w:szCs w:val="21"/>
        </w:rPr>
        <w:t>8</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_Toc27313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7.4 </w:t>
      </w:r>
      <w:r>
        <w:rPr>
          <w:rFonts w:hint="eastAsia" w:ascii="宋体" w:hAnsi="宋体" w:eastAsia="宋体" w:cs="宋体"/>
          <w:sz w:val="21"/>
          <w:szCs w:val="21"/>
          <w:lang w:val="en-US"/>
        </w:rPr>
        <w:t xml:space="preserve"> </w:t>
      </w:r>
      <w:r>
        <w:rPr>
          <w:rFonts w:hint="eastAsia" w:ascii="宋体" w:hAnsi="宋体" w:eastAsia="宋体" w:cs="宋体"/>
          <w:sz w:val="21"/>
          <w:szCs w:val="21"/>
        </w:rPr>
        <w:t>运营突发事件时的行车组织</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_Toc27313 \h </w:instrText>
      </w:r>
      <w:r>
        <w:rPr>
          <w:rFonts w:hint="eastAsia" w:ascii="宋体" w:hAnsi="宋体" w:eastAsia="宋体" w:cs="宋体"/>
          <w:sz w:val="21"/>
          <w:szCs w:val="21"/>
        </w:rPr>
        <w:fldChar w:fldCharType="separate"/>
      </w:r>
      <w:r>
        <w:rPr>
          <w:rFonts w:hint="eastAsia" w:ascii="宋体" w:hAnsi="宋体" w:eastAsia="宋体" w:cs="宋体"/>
          <w:sz w:val="21"/>
          <w:szCs w:val="21"/>
        </w:rPr>
        <w:t>9</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_Toc29951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8  </w:t>
      </w:r>
      <w:r>
        <w:rPr>
          <w:rFonts w:hint="eastAsia" w:ascii="宋体" w:hAnsi="宋体" w:eastAsia="宋体" w:cs="宋体"/>
          <w:sz w:val="21"/>
          <w:szCs w:val="21"/>
          <w:lang w:val="en-US" w:eastAsia="zh-CN"/>
        </w:rPr>
        <w:t>运营施工组织</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_Toc29951 \h </w:instrText>
      </w:r>
      <w:r>
        <w:rPr>
          <w:rFonts w:hint="eastAsia" w:ascii="宋体" w:hAnsi="宋体" w:eastAsia="宋体" w:cs="宋体"/>
          <w:sz w:val="21"/>
          <w:szCs w:val="21"/>
        </w:rPr>
        <w:fldChar w:fldCharType="separate"/>
      </w:r>
      <w:r>
        <w:rPr>
          <w:rFonts w:hint="eastAsia" w:ascii="宋体" w:hAnsi="宋体" w:eastAsia="宋体" w:cs="宋体"/>
          <w:sz w:val="21"/>
          <w:szCs w:val="21"/>
        </w:rPr>
        <w:t>10</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_Toc16011 </w:instrText>
      </w:r>
      <w:r>
        <w:rPr>
          <w:rFonts w:hint="eastAsia" w:ascii="宋体" w:hAnsi="宋体" w:eastAsia="宋体" w:cs="宋体"/>
          <w:sz w:val="21"/>
          <w:szCs w:val="21"/>
        </w:rPr>
        <w:fldChar w:fldCharType="separate"/>
      </w:r>
      <w:r>
        <w:rPr>
          <w:rFonts w:hint="eastAsia" w:ascii="宋体" w:hAnsi="宋体" w:eastAsia="宋体" w:cs="宋体"/>
          <w:sz w:val="21"/>
          <w:szCs w:val="21"/>
        </w:rPr>
        <w:t>8.1</w:t>
      </w:r>
      <w:r>
        <w:rPr>
          <w:rFonts w:hint="eastAsia" w:ascii="宋体" w:hAnsi="宋体" w:eastAsia="宋体" w:cs="宋体"/>
          <w:sz w:val="21"/>
          <w:szCs w:val="21"/>
          <w:lang w:val="en-US"/>
        </w:rPr>
        <w:t xml:space="preserve"> </w:t>
      </w:r>
      <w:r>
        <w:rPr>
          <w:rFonts w:hint="eastAsia" w:ascii="宋体" w:hAnsi="宋体" w:eastAsia="宋体" w:cs="宋体"/>
          <w:sz w:val="21"/>
          <w:szCs w:val="21"/>
        </w:rPr>
        <w:t xml:space="preserve"> 一般要求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_Toc16011 \h </w:instrText>
      </w:r>
      <w:r>
        <w:rPr>
          <w:rFonts w:hint="eastAsia" w:ascii="宋体" w:hAnsi="宋体" w:eastAsia="宋体" w:cs="宋体"/>
          <w:sz w:val="21"/>
          <w:szCs w:val="21"/>
        </w:rPr>
        <w:fldChar w:fldCharType="separate"/>
      </w:r>
      <w:r>
        <w:rPr>
          <w:rFonts w:hint="eastAsia" w:ascii="宋体" w:hAnsi="宋体" w:eastAsia="宋体" w:cs="宋体"/>
          <w:sz w:val="21"/>
          <w:szCs w:val="21"/>
        </w:rPr>
        <w:t>10</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_Toc23540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8.2 </w:t>
      </w:r>
      <w:r>
        <w:rPr>
          <w:rFonts w:hint="eastAsia" w:ascii="宋体" w:hAnsi="宋体" w:eastAsia="宋体" w:cs="宋体"/>
          <w:sz w:val="21"/>
          <w:szCs w:val="21"/>
          <w:lang w:val="en-US"/>
        </w:rPr>
        <w:t xml:space="preserve"> </w:t>
      </w:r>
      <w:r>
        <w:rPr>
          <w:rFonts w:hint="eastAsia" w:ascii="宋体" w:hAnsi="宋体" w:eastAsia="宋体" w:cs="宋体"/>
          <w:sz w:val="21"/>
          <w:szCs w:val="21"/>
        </w:rPr>
        <w:t>运营期间的设备设施抢修</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_Toc23540 \h </w:instrText>
      </w:r>
      <w:r>
        <w:rPr>
          <w:rFonts w:hint="eastAsia" w:ascii="宋体" w:hAnsi="宋体" w:eastAsia="宋体" w:cs="宋体"/>
          <w:sz w:val="21"/>
          <w:szCs w:val="21"/>
        </w:rPr>
        <w:fldChar w:fldCharType="separate"/>
      </w:r>
      <w:r>
        <w:rPr>
          <w:rFonts w:hint="eastAsia" w:ascii="宋体" w:hAnsi="宋体" w:eastAsia="宋体" w:cs="宋体"/>
          <w:sz w:val="21"/>
          <w:szCs w:val="21"/>
        </w:rPr>
        <w:t>10</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_Toc15166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8.3 </w:t>
      </w:r>
      <w:r>
        <w:rPr>
          <w:rFonts w:hint="eastAsia" w:ascii="宋体" w:hAnsi="宋体" w:eastAsia="宋体" w:cs="宋体"/>
          <w:sz w:val="21"/>
          <w:szCs w:val="21"/>
          <w:lang w:val="en-US"/>
        </w:rPr>
        <w:t xml:space="preserve"> </w:t>
      </w:r>
      <w:r>
        <w:rPr>
          <w:rFonts w:hint="eastAsia" w:ascii="宋体" w:hAnsi="宋体" w:eastAsia="宋体" w:cs="宋体"/>
          <w:sz w:val="21"/>
          <w:szCs w:val="21"/>
        </w:rPr>
        <w:t>非运营期间的设备设施检修施工</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_Toc15166 \h </w:instrText>
      </w:r>
      <w:r>
        <w:rPr>
          <w:rFonts w:hint="eastAsia" w:ascii="宋体" w:hAnsi="宋体" w:eastAsia="宋体" w:cs="宋体"/>
          <w:sz w:val="21"/>
          <w:szCs w:val="21"/>
        </w:rPr>
        <w:fldChar w:fldCharType="separate"/>
      </w:r>
      <w:r>
        <w:rPr>
          <w:rFonts w:hint="eastAsia" w:ascii="宋体" w:hAnsi="宋体" w:eastAsia="宋体" w:cs="宋体"/>
          <w:sz w:val="21"/>
          <w:szCs w:val="21"/>
        </w:rPr>
        <w:t>10</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_Toc17853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8.4 </w:t>
      </w:r>
      <w:r>
        <w:rPr>
          <w:rFonts w:hint="eastAsia" w:ascii="宋体" w:hAnsi="宋体" w:eastAsia="宋体" w:cs="宋体"/>
          <w:sz w:val="21"/>
          <w:szCs w:val="21"/>
          <w:lang w:val="en-US"/>
        </w:rPr>
        <w:t xml:space="preserve"> </w:t>
      </w:r>
      <w:r>
        <w:rPr>
          <w:rFonts w:hint="eastAsia" w:ascii="宋体" w:hAnsi="宋体" w:eastAsia="宋体" w:cs="宋体"/>
          <w:sz w:val="21"/>
          <w:szCs w:val="21"/>
        </w:rPr>
        <w:t>工程车开行规定</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_Toc17853 \h </w:instrText>
      </w:r>
      <w:r>
        <w:rPr>
          <w:rFonts w:hint="eastAsia" w:ascii="宋体" w:hAnsi="宋体" w:eastAsia="宋体" w:cs="宋体"/>
          <w:sz w:val="21"/>
          <w:szCs w:val="21"/>
        </w:rPr>
        <w:fldChar w:fldCharType="separate"/>
      </w:r>
      <w:r>
        <w:rPr>
          <w:rFonts w:hint="eastAsia" w:ascii="宋体" w:hAnsi="宋体" w:eastAsia="宋体" w:cs="宋体"/>
          <w:sz w:val="21"/>
          <w:szCs w:val="21"/>
        </w:rPr>
        <w:t>10</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_Toc95 </w:instrText>
      </w:r>
      <w:r>
        <w:rPr>
          <w:rFonts w:hint="eastAsia" w:ascii="宋体" w:hAnsi="宋体" w:eastAsia="宋体" w:cs="宋体"/>
          <w:sz w:val="21"/>
          <w:szCs w:val="21"/>
        </w:rPr>
        <w:fldChar w:fldCharType="separate"/>
      </w:r>
      <w:r>
        <w:rPr>
          <w:rFonts w:hint="eastAsia" w:ascii="宋体" w:hAnsi="宋体" w:eastAsia="宋体" w:cs="宋体"/>
          <w:sz w:val="21"/>
          <w:szCs w:val="21"/>
        </w:rPr>
        <w:t>8.5</w:t>
      </w:r>
      <w:r>
        <w:rPr>
          <w:rFonts w:hint="eastAsia" w:ascii="宋体" w:hAnsi="宋体" w:eastAsia="宋体" w:cs="宋体"/>
          <w:sz w:val="21"/>
          <w:szCs w:val="21"/>
          <w:lang w:val="en-US"/>
        </w:rPr>
        <w:t xml:space="preserve"> </w:t>
      </w:r>
      <w:r>
        <w:rPr>
          <w:rFonts w:hint="eastAsia" w:ascii="宋体" w:hAnsi="宋体" w:eastAsia="宋体" w:cs="宋体"/>
          <w:sz w:val="21"/>
          <w:szCs w:val="21"/>
        </w:rPr>
        <w:t xml:space="preserve"> 设备设施调试规定</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_Toc95 \h </w:instrText>
      </w:r>
      <w:r>
        <w:rPr>
          <w:rFonts w:hint="eastAsia" w:ascii="宋体" w:hAnsi="宋体" w:eastAsia="宋体" w:cs="宋体"/>
          <w:sz w:val="21"/>
          <w:szCs w:val="21"/>
        </w:rPr>
        <w:fldChar w:fldCharType="separate"/>
      </w:r>
      <w:r>
        <w:rPr>
          <w:rFonts w:hint="eastAsia" w:ascii="宋体" w:hAnsi="宋体" w:eastAsia="宋体" w:cs="宋体"/>
          <w:sz w:val="21"/>
          <w:szCs w:val="21"/>
        </w:rPr>
        <w:t>10</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_Toc2188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9  </w:t>
      </w:r>
      <w:r>
        <w:rPr>
          <w:rFonts w:hint="eastAsia" w:ascii="宋体" w:hAnsi="宋体" w:eastAsia="宋体" w:cs="宋体"/>
          <w:sz w:val="21"/>
          <w:szCs w:val="21"/>
          <w:lang w:val="en-US" w:eastAsia="zh-CN"/>
        </w:rPr>
        <w:t>信号显示</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_Toc2188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_Toc4474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10  </w:t>
      </w:r>
      <w:r>
        <w:rPr>
          <w:rFonts w:hint="eastAsia" w:ascii="宋体" w:hAnsi="宋体" w:eastAsia="宋体" w:cs="宋体"/>
          <w:sz w:val="21"/>
          <w:szCs w:val="21"/>
          <w:lang w:val="en-US" w:eastAsia="zh-CN"/>
        </w:rPr>
        <w:t>运行及服务关键指标</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_Toc4474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_Toc25405 </w:instrText>
      </w:r>
      <w:r>
        <w:rPr>
          <w:rFonts w:hint="eastAsia" w:ascii="宋体" w:hAnsi="宋体" w:eastAsia="宋体" w:cs="宋体"/>
          <w:sz w:val="21"/>
          <w:szCs w:val="21"/>
        </w:rPr>
        <w:fldChar w:fldCharType="separate"/>
      </w:r>
      <w:r>
        <w:rPr>
          <w:rFonts w:hint="eastAsia" w:ascii="宋体" w:hAnsi="宋体" w:eastAsia="宋体" w:cs="宋体"/>
          <w:sz w:val="21"/>
          <w:szCs w:val="21"/>
        </w:rPr>
        <w:t>附录A（规范性）</w:t>
      </w:r>
      <w:r>
        <w:rPr>
          <w:rFonts w:hint="eastAsia" w:ascii="宋体" w:hAnsi="宋体" w:eastAsia="宋体" w:cs="宋体"/>
          <w:sz w:val="21"/>
          <w:szCs w:val="21"/>
          <w:lang w:val="en-US"/>
        </w:rPr>
        <w:t xml:space="preserve"> </w:t>
      </w:r>
      <w:r>
        <w:rPr>
          <w:rFonts w:hint="eastAsia" w:ascii="宋体" w:hAnsi="宋体" w:eastAsia="宋体" w:cs="宋体"/>
          <w:sz w:val="21"/>
          <w:szCs w:val="21"/>
        </w:rPr>
        <w:t xml:space="preserve"> 运行指标定义及计算方法</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_Toc25405 \h </w:instrText>
      </w:r>
      <w:r>
        <w:rPr>
          <w:rFonts w:hint="eastAsia" w:ascii="宋体" w:hAnsi="宋体" w:eastAsia="宋体" w:cs="宋体"/>
          <w:sz w:val="21"/>
          <w:szCs w:val="21"/>
        </w:rPr>
        <w:fldChar w:fldCharType="separate"/>
      </w:r>
      <w:r>
        <w:rPr>
          <w:rFonts w:hint="eastAsia" w:ascii="宋体" w:hAnsi="宋体" w:eastAsia="宋体" w:cs="宋体"/>
          <w:sz w:val="21"/>
          <w:szCs w:val="21"/>
        </w:rPr>
        <w:t>13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_Toc27242 </w:instrText>
      </w:r>
      <w:r>
        <w:rPr>
          <w:rFonts w:hint="eastAsia" w:ascii="宋体" w:hAnsi="宋体" w:eastAsia="宋体" w:cs="宋体"/>
          <w:sz w:val="21"/>
          <w:szCs w:val="21"/>
        </w:rPr>
        <w:fldChar w:fldCharType="separate"/>
      </w:r>
      <w:r>
        <w:rPr>
          <w:rFonts w:hint="eastAsia" w:ascii="宋体" w:hAnsi="宋体" w:eastAsia="宋体" w:cs="宋体"/>
          <w:sz w:val="21"/>
          <w:szCs w:val="21"/>
        </w:rPr>
        <w:t>参考文献</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_Toc27242 \h </w:instrText>
      </w:r>
      <w:r>
        <w:rPr>
          <w:rFonts w:hint="eastAsia" w:ascii="宋体" w:hAnsi="宋体" w:eastAsia="宋体" w:cs="宋体"/>
          <w:sz w:val="21"/>
          <w:szCs w:val="21"/>
        </w:rPr>
        <w:fldChar w:fldCharType="separate"/>
      </w:r>
      <w:r>
        <w:rPr>
          <w:rFonts w:hint="eastAsia" w:ascii="宋体" w:hAnsi="宋体" w:eastAsia="宋体" w:cs="宋体"/>
          <w:sz w:val="21"/>
          <w:szCs w:val="21"/>
        </w:rPr>
        <w:t>20</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93"/>
        <w:keepNext w:val="0"/>
        <w:keepLines w:val="0"/>
        <w:pageBreakBefore w:val="0"/>
        <w:widowControl w:val="0"/>
        <w:kinsoku/>
        <w:wordWrap/>
        <w:overflowPunct/>
        <w:topLinePunct w:val="0"/>
        <w:autoSpaceDE/>
        <w:autoSpaceDN/>
        <w:bidi w:val="0"/>
        <w:adjustRightInd w:val="0"/>
        <w:snapToGrid/>
        <w:spacing w:before="79" w:beforeLines="25" w:after="79" w:afterLines="25"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end"/>
      </w:r>
    </w:p>
    <w:bookmarkEnd w:id="13"/>
    <w:p>
      <w:pPr>
        <w:pStyle w:val="91"/>
        <w:spacing w:after="360"/>
      </w:pPr>
      <w:bookmarkStart w:id="15" w:name="_Toc21822"/>
      <w:bookmarkStart w:id="16" w:name="BookMark2"/>
      <w:r>
        <w:rPr>
          <w:spacing w:val="320"/>
        </w:rPr>
        <w:t>前</w:t>
      </w:r>
      <w:r>
        <w:t>言</w:t>
      </w:r>
      <w:bookmarkEnd w:id="14"/>
      <w:bookmarkEnd w:id="15"/>
    </w:p>
    <w:p>
      <w:pPr>
        <w:pStyle w:val="58"/>
        <w:ind w:firstLine="420"/>
      </w:pPr>
      <w:r>
        <w:rPr>
          <w:rFonts w:hint="eastAsia"/>
        </w:rPr>
        <w:t>本文件按照GB/T 1.1—2020《标准化工作导则  第1部分：标准化文件的结构和起草规则》的规定起草。</w:t>
      </w:r>
    </w:p>
    <w:p>
      <w:pPr>
        <w:pStyle w:val="58"/>
        <w:ind w:firstLine="420"/>
      </w:pPr>
      <w:r>
        <w:rPr>
          <w:rFonts w:hint="eastAsia"/>
        </w:rPr>
        <w:t>请注意本文件的某些内容可能涉及专利。本文件的发布机构不承担识别这些专利的责任。</w:t>
      </w:r>
    </w:p>
    <w:p>
      <w:pPr>
        <w:pStyle w:val="58"/>
        <w:ind w:firstLine="420"/>
      </w:pPr>
      <w:r>
        <w:rPr>
          <w:rFonts w:hint="eastAsia"/>
        </w:rPr>
        <w:t>本文件由深圳市城市</w:t>
      </w:r>
      <w:r>
        <w:t>轨道交通协会</w:t>
      </w:r>
      <w:r>
        <w:rPr>
          <w:rFonts w:hint="eastAsia"/>
        </w:rPr>
        <w:t>提出。</w:t>
      </w:r>
    </w:p>
    <w:p>
      <w:pPr>
        <w:pStyle w:val="58"/>
        <w:ind w:firstLine="420"/>
      </w:pPr>
      <w:r>
        <w:rPr>
          <w:rFonts w:hint="eastAsia"/>
        </w:rPr>
        <w:t>本文件由深圳市城市</w:t>
      </w:r>
      <w:r>
        <w:t>轨道交通协会</w:t>
      </w:r>
      <w:r>
        <w:rPr>
          <w:rFonts w:hint="eastAsia"/>
        </w:rPr>
        <w:t>归口。</w:t>
      </w:r>
    </w:p>
    <w:p>
      <w:pPr>
        <w:pStyle w:val="58"/>
        <w:ind w:firstLine="420"/>
        <w:rPr>
          <w:rFonts w:hint="eastAsia" w:eastAsia="宋体"/>
          <w:lang w:eastAsia="zh-CN"/>
        </w:rPr>
      </w:pPr>
      <w:r>
        <w:rPr>
          <w:rFonts w:hint="eastAsia"/>
        </w:rPr>
        <w:t>本文件起草单位：</w:t>
      </w:r>
      <w:r>
        <w:rPr>
          <w:rFonts w:hint="eastAsia"/>
          <w:lang w:val="en-US" w:eastAsia="zh-CN"/>
        </w:rPr>
        <w:t>比亚迪汽车工业有限公司</w:t>
      </w:r>
      <w:r>
        <w:rPr>
          <w:rFonts w:hint="eastAsia"/>
          <w:lang w:eastAsia="zh-CN"/>
        </w:rPr>
        <w:t>、</w:t>
      </w:r>
      <w:r>
        <w:rPr>
          <w:rFonts w:hint="eastAsia"/>
        </w:rPr>
        <w:t>深圳比亚迪轨道交通运营有限公司、比亚迪建设工程有限公司、比亚迪勘察设计有限公司、比亚迪机电设备有限公司、比亚迪通信信号有限公司、重庆云巴轨道交通运营管理有限公司</w:t>
      </w:r>
      <w:r>
        <w:rPr>
          <w:rFonts w:hint="eastAsia"/>
          <w:lang w:eastAsia="zh-CN"/>
        </w:rPr>
        <w:t>。</w:t>
      </w:r>
    </w:p>
    <w:p>
      <w:pPr>
        <w:pStyle w:val="58"/>
        <w:ind w:firstLine="420"/>
        <w:rPr>
          <w:rFonts w:hint="eastAsia" w:eastAsia="宋体"/>
          <w:lang w:eastAsia="zh-CN"/>
        </w:rPr>
      </w:pPr>
      <w:r>
        <w:rPr>
          <w:rFonts w:hint="eastAsia"/>
        </w:rPr>
        <w:t>本文件主要起草人：刘国政、刘世雄、刘杨、何飞、林跃明、刘瑞联、康华玲、李科、黄裕锋、滕秀霜、林鸿全、韩君怡、林伟森、张乃文、黄伟潮、王小春、马忠义、郭淑萍、郭甜、李君连、徐梦莹</w:t>
      </w:r>
      <w:r>
        <w:rPr>
          <w:rFonts w:hint="eastAsia"/>
          <w:lang w:eastAsia="zh-CN"/>
        </w:rPr>
        <w:t>、</w:t>
      </w:r>
      <w:r>
        <w:rPr>
          <w:rFonts w:hint="eastAsia"/>
        </w:rPr>
        <w:t>李慧、晏艳珍、宿李、李斯新、梁伦富、杨东周、温强、王道武、史秀荣、蒋坤、周子贤</w:t>
      </w:r>
      <w:r>
        <w:rPr>
          <w:rFonts w:hint="eastAsia"/>
          <w:lang w:eastAsia="zh-CN"/>
        </w:rPr>
        <w:t>、</w:t>
      </w:r>
      <w:r>
        <w:rPr>
          <w:rFonts w:hint="eastAsia"/>
        </w:rPr>
        <w:t>肖辉、唐文伟、王玉、单清云、孟强</w:t>
      </w:r>
      <w:r>
        <w:rPr>
          <w:rFonts w:hint="eastAsia"/>
          <w:lang w:eastAsia="zh-CN"/>
        </w:rPr>
        <w:t>、</w:t>
      </w:r>
      <w:r>
        <w:rPr>
          <w:rFonts w:hint="eastAsia"/>
        </w:rPr>
        <w:t>饶江波</w:t>
      </w:r>
      <w:r>
        <w:rPr>
          <w:rFonts w:hint="eastAsia"/>
          <w:lang w:eastAsia="zh-CN"/>
        </w:rPr>
        <w:t>、</w:t>
      </w:r>
      <w:r>
        <w:rPr>
          <w:rFonts w:hint="eastAsia"/>
        </w:rPr>
        <w:t>刘振华</w:t>
      </w:r>
      <w:r>
        <w:rPr>
          <w:rFonts w:hint="eastAsia"/>
          <w:lang w:eastAsia="zh-CN"/>
        </w:rPr>
        <w:t>、</w:t>
      </w:r>
      <w:r>
        <w:rPr>
          <w:rFonts w:hint="eastAsia"/>
        </w:rPr>
        <w:t>刘伟华、黄伟、赵理想、王景云、李红艳、徐海霞、李志辉</w:t>
      </w:r>
      <w:r>
        <w:rPr>
          <w:rFonts w:hint="eastAsia"/>
          <w:lang w:eastAsia="zh-CN"/>
        </w:rPr>
        <w:t>、</w:t>
      </w:r>
      <w:r>
        <w:rPr>
          <w:rFonts w:hint="eastAsia"/>
        </w:rPr>
        <w:t>王勇、蒋海川、李长松、蔡忠海、孙静</w:t>
      </w:r>
      <w:r>
        <w:rPr>
          <w:rFonts w:hint="eastAsia"/>
          <w:lang w:eastAsia="zh-CN"/>
        </w:rPr>
        <w:t>。</w:t>
      </w:r>
    </w:p>
    <w:p>
      <w:pPr>
        <w:widowControl/>
        <w:adjustRightInd/>
        <w:spacing w:line="276" w:lineRule="auto"/>
        <w:ind w:firstLine="420" w:firstLineChars="200"/>
        <w:rPr>
          <w:rFonts w:hint="eastAsia" w:ascii="Times New Roman" w:hAnsi="Times New Roman"/>
          <w:szCs w:val="24"/>
        </w:rPr>
      </w:pPr>
      <w:r>
        <w:rPr>
          <w:rFonts w:hint="eastAsia" w:ascii="Times New Roman" w:hAnsi="Times New Roman"/>
          <w:szCs w:val="24"/>
        </w:rPr>
        <w:t>本文件主要审查人员：</w:t>
      </w:r>
    </w:p>
    <w:p>
      <w:pPr>
        <w:widowControl/>
        <w:adjustRightInd/>
        <w:spacing w:line="276" w:lineRule="auto"/>
        <w:ind w:firstLine="420" w:firstLineChars="200"/>
        <w:rPr>
          <w:rFonts w:hint="eastAsia" w:ascii="Times New Roman" w:hAnsi="Times New Roman"/>
          <w:szCs w:val="24"/>
        </w:rPr>
      </w:pPr>
    </w:p>
    <w:p>
      <w:pPr>
        <w:pStyle w:val="58"/>
        <w:ind w:firstLine="420"/>
      </w:pPr>
    </w:p>
    <w:p>
      <w:pPr>
        <w:pStyle w:val="58"/>
        <w:ind w:firstLine="420"/>
        <w:sectPr>
          <w:headerReference r:id="rId8" w:type="default"/>
          <w:footerReference r:id="rId9" w:type="default"/>
          <w:pgSz w:w="11906" w:h="16838"/>
          <w:pgMar w:top="2410" w:right="1134" w:bottom="1134" w:left="1134" w:header="1418" w:footer="1134" w:gutter="284"/>
          <w:pgNumType w:fmt="upperRoman" w:start="1"/>
          <w:cols w:space="425" w:num="1"/>
          <w:formProt w:val="0"/>
          <w:docGrid w:linePitch="312" w:charSpace="0"/>
        </w:sectPr>
      </w:pPr>
    </w:p>
    <w:bookmarkEnd w:id="16"/>
    <w:p>
      <w:pPr>
        <w:pStyle w:val="91"/>
        <w:spacing w:after="360"/>
      </w:pPr>
      <w:bookmarkStart w:id="17" w:name="_Toc82621523"/>
      <w:bookmarkStart w:id="18" w:name="_Toc20539"/>
      <w:bookmarkStart w:id="19" w:name="BookMark3"/>
      <w:r>
        <w:rPr>
          <w:spacing w:val="320"/>
        </w:rPr>
        <w:t>引</w:t>
      </w:r>
      <w:r>
        <w:t>言</w:t>
      </w:r>
      <w:bookmarkEnd w:id="17"/>
      <w:bookmarkEnd w:id="18"/>
    </w:p>
    <w:p>
      <w:pPr>
        <w:pStyle w:val="58"/>
        <w:ind w:firstLine="420"/>
        <w:rPr>
          <w:rFonts w:hint="eastAsia"/>
        </w:rPr>
      </w:pPr>
      <w:r>
        <w:rPr>
          <w:rFonts w:hint="eastAsia"/>
        </w:rPr>
        <w:t>导轨式胶轮系统是低运量城市轨道交通系统，行车组织有别于地铁、轻轨和有轨电车等其他制式，行车组织管理不能完全套用现有的规范，因此制定本文件。</w:t>
      </w:r>
    </w:p>
    <w:p>
      <w:pPr>
        <w:pStyle w:val="58"/>
        <w:ind w:firstLine="420"/>
        <w:rPr>
          <w:rFonts w:hint="eastAsia"/>
        </w:rPr>
      </w:pPr>
      <w:r>
        <w:rPr>
          <w:rFonts w:hint="eastAsia"/>
        </w:rPr>
        <w:t>本文件遵循交通运输部颁布的《城市轨道交通行车组织管理办法》（交运规〔2019〕14号）对行车组织管理的相关要求，针对导轨式胶轮系统的特点编制。</w:t>
      </w:r>
    </w:p>
    <w:p>
      <w:pPr>
        <w:pStyle w:val="58"/>
        <w:ind w:firstLine="420"/>
        <w:rPr>
          <w:rFonts w:hint="eastAsia"/>
        </w:rPr>
      </w:pPr>
      <w:r>
        <w:rPr>
          <w:rFonts w:hint="eastAsia"/>
        </w:rPr>
        <w:t>本文件弥补了导轨式胶轮系统在行车组织管理相关标准方面的空白，可作为导轨式胶轮系统行车组织管理的规范依据，为运营单位日常的运营行车组织工作提供科学的指导与技术支持，对于提高行车组织管理水平具有指导性的意义。</w:t>
      </w:r>
    </w:p>
    <w:p>
      <w:pPr>
        <w:pStyle w:val="58"/>
        <w:ind w:firstLine="420"/>
      </w:pPr>
    </w:p>
    <w:p>
      <w:pPr>
        <w:pStyle w:val="58"/>
        <w:ind w:firstLine="420"/>
        <w:sectPr>
          <w:pgSz w:w="11906" w:h="16838"/>
          <w:pgMar w:top="2410" w:right="1134" w:bottom="1134" w:left="1134" w:header="1418" w:footer="1134" w:gutter="284"/>
          <w:pgNumType w:fmt="upperRoman"/>
          <w:cols w:space="425" w:num="1"/>
          <w:formProt w:val="0"/>
          <w:docGrid w:linePitch="312" w:charSpace="0"/>
        </w:sectPr>
      </w:pPr>
    </w:p>
    <w:bookmarkEnd w:id="19"/>
    <w:p>
      <w:pPr>
        <w:spacing w:line="20" w:lineRule="exact"/>
        <w:jc w:val="center"/>
        <w:rPr>
          <w:rFonts w:ascii="黑体" w:hAnsi="黑体" w:eastAsia="黑体"/>
          <w:sz w:val="32"/>
          <w:szCs w:val="32"/>
        </w:rPr>
      </w:pPr>
      <w:bookmarkStart w:id="20" w:name="BookMark4"/>
    </w:p>
    <w:p>
      <w:pPr>
        <w:spacing w:line="20" w:lineRule="exact"/>
        <w:jc w:val="center"/>
        <w:rPr>
          <w:rFonts w:ascii="黑体" w:hAnsi="黑体" w:eastAsia="黑体"/>
          <w:sz w:val="32"/>
          <w:szCs w:val="32"/>
        </w:rPr>
      </w:pPr>
    </w:p>
    <w:sdt>
      <w:sdtPr>
        <w:tag w:val="NEW_STAND_NAME"/>
        <w:id w:val="595910757"/>
        <w:lock w:val="sdtLocked"/>
        <w:placeholder>
          <w:docPart w:val="B05AE330FA954AFFB0E59532AC80D7B2"/>
        </w:placeholder>
      </w:sdtPr>
      <w:sdtContent>
        <w:p>
          <w:pPr>
            <w:pStyle w:val="179"/>
            <w:spacing w:before="2" w:beforeLines="1" w:after="2" w:afterLines="1"/>
          </w:pPr>
          <w:bookmarkStart w:id="21" w:name="NEW_STAND_NAME"/>
          <w:r>
            <w:rPr>
              <w:rFonts w:hint="eastAsia"/>
            </w:rPr>
            <w:t>导轨式胶轮系统</w:t>
          </w:r>
          <w:r>
            <w:rPr>
              <w:rFonts w:hint="eastAsia"/>
              <w:lang w:val="en-US" w:eastAsia="zh-CN"/>
            </w:rPr>
            <w:t>行车组织管理规范</w:t>
          </w:r>
        </w:p>
      </w:sdtContent>
    </w:sdt>
    <w:bookmarkEnd w:id="21"/>
    <w:p>
      <w:pPr>
        <w:pStyle w:val="106"/>
        <w:spacing w:before="240" w:after="240"/>
      </w:pPr>
      <w:bookmarkStart w:id="22" w:name="_Toc26648465"/>
      <w:bookmarkStart w:id="23" w:name="_Toc82621524"/>
      <w:bookmarkStart w:id="24" w:name="_Toc17233333"/>
      <w:bookmarkStart w:id="25" w:name="_Toc26718930"/>
      <w:bookmarkStart w:id="26" w:name="_Toc26986771"/>
      <w:bookmarkStart w:id="27" w:name="_Toc24884211"/>
      <w:bookmarkStart w:id="28" w:name="_Toc6982"/>
      <w:bookmarkStart w:id="29" w:name="_Toc24884218"/>
      <w:bookmarkStart w:id="30" w:name="_Toc26986530"/>
      <w:bookmarkStart w:id="31" w:name="_Toc17233325"/>
      <w:r>
        <w:rPr>
          <w:rFonts w:hint="eastAsia"/>
        </w:rPr>
        <w:t>范围</w:t>
      </w:r>
      <w:bookmarkEnd w:id="22"/>
      <w:bookmarkEnd w:id="23"/>
      <w:bookmarkEnd w:id="24"/>
      <w:bookmarkEnd w:id="25"/>
      <w:bookmarkEnd w:id="26"/>
      <w:bookmarkEnd w:id="27"/>
      <w:bookmarkEnd w:id="28"/>
      <w:bookmarkEnd w:id="29"/>
      <w:bookmarkEnd w:id="30"/>
      <w:bookmarkEnd w:id="31"/>
    </w:p>
    <w:p>
      <w:pPr>
        <w:pStyle w:val="233"/>
      </w:pPr>
      <w:bookmarkStart w:id="32" w:name="_Toc17233326"/>
      <w:bookmarkStart w:id="33" w:name="_Toc24884219"/>
      <w:bookmarkStart w:id="34" w:name="_Toc17233334"/>
      <w:bookmarkStart w:id="35" w:name="_Toc26648466"/>
      <w:bookmarkStart w:id="36" w:name="_Toc24884212"/>
      <w:r>
        <w:rPr>
          <w:rFonts w:hint="eastAsia"/>
        </w:rPr>
        <w:t>本文件规定了导轨式胶轮系统行车组织</w:t>
      </w:r>
      <w:r>
        <w:t>的</w:t>
      </w:r>
      <w:r>
        <w:rPr>
          <w:rFonts w:hint="eastAsia"/>
        </w:rPr>
        <w:t>基本</w:t>
      </w:r>
      <w:r>
        <w:t>要求、设备设施</w:t>
      </w:r>
      <w:r>
        <w:rPr>
          <w:rFonts w:hint="eastAsia"/>
        </w:rPr>
        <w:t>、正常情况</w:t>
      </w:r>
      <w:r>
        <w:t>下</w:t>
      </w:r>
      <w:r>
        <w:rPr>
          <w:rFonts w:hint="eastAsia"/>
          <w:lang w:val="en-US" w:eastAsia="zh-CN"/>
        </w:rPr>
        <w:t>的</w:t>
      </w:r>
      <w:r>
        <w:t>行车组织、</w:t>
      </w:r>
      <w:r>
        <w:rPr>
          <w:rFonts w:hint="eastAsia"/>
        </w:rPr>
        <w:t>非正常情况</w:t>
      </w:r>
      <w:r>
        <w:t>下</w:t>
      </w:r>
      <w:r>
        <w:rPr>
          <w:rFonts w:hint="eastAsia"/>
          <w:lang w:val="en-US" w:eastAsia="zh-CN"/>
        </w:rPr>
        <w:t>的</w:t>
      </w:r>
      <w:r>
        <w:t>行车组织</w:t>
      </w:r>
      <w:r>
        <w:rPr>
          <w:rFonts w:hint="eastAsia"/>
        </w:rPr>
        <w:t>、运营</w:t>
      </w:r>
      <w:r>
        <w:t>施工组织、</w:t>
      </w:r>
      <w:r>
        <w:rPr>
          <w:rFonts w:hint="eastAsia"/>
        </w:rPr>
        <w:t>信号</w:t>
      </w:r>
      <w:r>
        <w:t>显示、运行</w:t>
      </w:r>
      <w:r>
        <w:rPr>
          <w:rFonts w:hint="eastAsia"/>
        </w:rPr>
        <w:t>及</w:t>
      </w:r>
      <w:r>
        <w:t>服务</w:t>
      </w:r>
      <w:r>
        <w:rPr>
          <w:rFonts w:hint="eastAsia"/>
        </w:rPr>
        <w:t>关键</w:t>
      </w:r>
      <w:r>
        <w:t>指标</w:t>
      </w:r>
      <w:r>
        <w:rPr>
          <w:rFonts w:hint="eastAsia"/>
        </w:rPr>
        <w:t>等</w:t>
      </w:r>
      <w:r>
        <w:rPr>
          <w:rFonts w:hint="eastAsia"/>
          <w:lang w:eastAsia="zh-CN"/>
        </w:rPr>
        <w:t>要求</w:t>
      </w:r>
      <w:r>
        <w:rPr>
          <w:rFonts w:hint="eastAsia"/>
        </w:rPr>
        <w:t>。</w:t>
      </w:r>
    </w:p>
    <w:p>
      <w:pPr>
        <w:pStyle w:val="58"/>
        <w:ind w:firstLine="420"/>
      </w:pPr>
      <w:r>
        <w:rPr>
          <w:rFonts w:hint="eastAsia"/>
        </w:rPr>
        <w:t>本文件适用于导轨式胶轮系统运营线路</w:t>
      </w:r>
      <w:r>
        <w:t>的行车组织工作</w:t>
      </w:r>
      <w:r>
        <w:rPr>
          <w:rFonts w:hint="eastAsia"/>
        </w:rPr>
        <w:t>。</w:t>
      </w:r>
    </w:p>
    <w:p>
      <w:pPr>
        <w:pStyle w:val="106"/>
        <w:spacing w:before="240" w:after="240"/>
      </w:pPr>
      <w:bookmarkStart w:id="37" w:name="_Toc26986772"/>
      <w:bookmarkStart w:id="38" w:name="_Toc26986531"/>
      <w:bookmarkStart w:id="39" w:name="_Toc15634"/>
      <w:bookmarkStart w:id="40" w:name="_Toc26718931"/>
      <w:bookmarkStart w:id="41" w:name="_Toc82621525"/>
      <w:r>
        <w:rPr>
          <w:rFonts w:hint="eastAsia"/>
        </w:rPr>
        <w:t>规范性引用文件</w:t>
      </w:r>
      <w:bookmarkEnd w:id="32"/>
      <w:bookmarkEnd w:id="33"/>
      <w:bookmarkEnd w:id="34"/>
      <w:bookmarkEnd w:id="35"/>
      <w:bookmarkEnd w:id="36"/>
      <w:bookmarkEnd w:id="37"/>
      <w:bookmarkEnd w:id="38"/>
      <w:bookmarkEnd w:id="39"/>
      <w:bookmarkEnd w:id="40"/>
      <w:bookmarkEnd w:id="41"/>
    </w:p>
    <w:sdt>
      <w:sdtPr>
        <w:rPr>
          <w:rFonts w:hint="eastAsia"/>
        </w:rPr>
        <w:id w:val="715848253"/>
        <w:placeholder>
          <w:docPart w:val="EBDF80A13ED14C00B96A5DD97430634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pPr>
          <w:r>
            <w:rPr>
              <w:rFonts w:hint="eastAsia" w:ascii="宋体" w:hAnsi="Times New Roman" w:eastAsia="宋体" w:cs="Times New Roman"/>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8"/>
        <w:ind w:firstLine="420"/>
        <w:rPr>
          <w:rFonts w:hint="eastAsia" w:ascii="宋体" w:hAnsi="宋体" w:eastAsia="宋体" w:cs="宋体"/>
          <w:highlight w:val="none"/>
        </w:rPr>
      </w:pPr>
      <w:bookmarkStart w:id="42" w:name="_Toc82621526"/>
      <w:r>
        <w:rPr>
          <w:rFonts w:hint="eastAsia" w:ascii="宋体" w:hAnsi="宋体" w:eastAsia="宋体" w:cs="宋体"/>
          <w:highlight w:val="none"/>
        </w:rPr>
        <w:t>GB/T 30012  城市轨道交通运营管理规范</w:t>
      </w:r>
    </w:p>
    <w:p>
      <w:pPr>
        <w:pStyle w:val="58"/>
        <w:ind w:firstLine="420"/>
        <w:rPr>
          <w:rFonts w:hint="eastAsia" w:ascii="宋体" w:hAnsi="宋体" w:eastAsia="宋体" w:cs="宋体"/>
          <w:highlight w:val="none"/>
        </w:rPr>
      </w:pPr>
      <w:r>
        <w:rPr>
          <w:rFonts w:hint="eastAsia" w:ascii="宋体" w:hAnsi="宋体" w:eastAsia="宋体" w:cs="宋体"/>
          <w:highlight w:val="none"/>
        </w:rPr>
        <w:t>GB 50157  地铁设计规范</w:t>
      </w:r>
    </w:p>
    <w:p>
      <w:pPr>
        <w:pStyle w:val="58"/>
        <w:ind w:firstLine="420"/>
        <w:rPr>
          <w:rFonts w:hint="eastAsia" w:ascii="宋体" w:hAnsi="宋体" w:eastAsia="宋体" w:cs="宋体"/>
          <w:highlight w:val="none"/>
        </w:rPr>
      </w:pPr>
      <w:r>
        <w:rPr>
          <w:rFonts w:hint="eastAsia" w:ascii="宋体" w:hAnsi="宋体" w:eastAsia="宋体" w:cs="宋体"/>
          <w:highlight w:val="none"/>
        </w:rPr>
        <w:t>GB 50490  城市轨道交通技术规范</w:t>
      </w:r>
    </w:p>
    <w:p>
      <w:pPr>
        <w:pStyle w:val="58"/>
        <w:ind w:firstLine="420"/>
        <w:rPr>
          <w:rFonts w:hint="eastAsia" w:ascii="宋体" w:hAnsi="宋体" w:eastAsia="宋体" w:cs="宋体"/>
          <w:highlight w:val="none"/>
        </w:rPr>
      </w:pPr>
      <w:r>
        <w:rPr>
          <w:rFonts w:hint="eastAsia" w:ascii="宋体" w:hAnsi="宋体" w:eastAsia="宋体" w:cs="宋体"/>
          <w:highlight w:val="none"/>
        </w:rPr>
        <w:t>T/URTA 0005  导轨式胶轮系统全自动运行线路初期运营安全评估基本条件</w:t>
      </w:r>
    </w:p>
    <w:p>
      <w:pPr>
        <w:pStyle w:val="106"/>
        <w:spacing w:before="240" w:after="240"/>
      </w:pPr>
      <w:bookmarkStart w:id="43" w:name="_Toc27158"/>
      <w:r>
        <w:rPr>
          <w:rFonts w:hint="eastAsia"/>
          <w:szCs w:val="21"/>
        </w:rPr>
        <w:t>术语和定义</w:t>
      </w:r>
      <w:bookmarkEnd w:id="42"/>
      <w:bookmarkEnd w:id="43"/>
    </w:p>
    <w:sdt>
      <w:sdtPr>
        <w:id w:val="-1909835108"/>
        <w:placeholder>
          <w:docPart w:val="FDEB2041E3744F8B8BA933A88BD1C02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8"/>
            <w:ind w:firstLine="420"/>
          </w:pPr>
          <w:bookmarkStart w:id="44" w:name="_Toc26986532"/>
          <w:bookmarkEnd w:id="44"/>
          <w:r>
            <w:rPr>
              <w:rFonts w:hint="eastAsia"/>
            </w:rPr>
            <w:t>下列</w:t>
          </w:r>
          <w:r>
            <w:t>术语和定义</w:t>
          </w:r>
          <w:r>
            <w:rPr>
              <w:rFonts w:hint="eastAsia"/>
            </w:rPr>
            <w:t>适用于本文件</w:t>
          </w:r>
          <w:r>
            <w:t>。</w:t>
          </w:r>
        </w:p>
      </w:sdtContent>
    </w:sdt>
    <w:p>
      <w:pPr>
        <w:pStyle w:val="164"/>
      </w:pPr>
    </w:p>
    <w:p>
      <w:pPr>
        <w:pStyle w:val="58"/>
        <w:ind w:firstLine="420"/>
      </w:pPr>
      <w:r>
        <w:rPr>
          <w:rFonts w:hint="eastAsia" w:ascii="黑体" w:eastAsia="黑体"/>
        </w:rPr>
        <w:t>导轨式胶轮系统  beam-guiding rubber-tyred tram system</w:t>
      </w:r>
    </w:p>
    <w:p>
      <w:pPr>
        <w:pStyle w:val="58"/>
        <w:ind w:firstLine="420"/>
      </w:pPr>
      <w:r>
        <w:rPr>
          <w:rFonts w:hint="eastAsia"/>
        </w:rPr>
        <w:t>低运量城市公共交通的一种制式，车辆采用橡胶车轮走行于轨道梁上。车辆除走行轮外，在转向架的两侧尚有导向轮，内嵌在轨道梁的U型槽内侧运行。</w:t>
      </w:r>
    </w:p>
    <w:p>
      <w:pPr>
        <w:pStyle w:val="164"/>
        <w:rPr>
          <w:rFonts w:hint="default"/>
        </w:rPr>
      </w:pPr>
    </w:p>
    <w:p>
      <w:pPr>
        <w:pStyle w:val="58"/>
        <w:ind w:firstLine="420"/>
        <w:rPr>
          <w:rFonts w:ascii="黑体" w:hAnsi="黑体" w:eastAsia="黑体"/>
        </w:rPr>
      </w:pPr>
      <w:r>
        <w:rPr>
          <w:rFonts w:hint="eastAsia" w:ascii="黑体" w:hAnsi="黑体" w:eastAsia="黑体"/>
        </w:rPr>
        <w:t>行车调度员  traffic controller</w:t>
      </w:r>
    </w:p>
    <w:p>
      <w:pPr>
        <w:pStyle w:val="58"/>
        <w:ind w:firstLine="420"/>
      </w:pPr>
      <w:r>
        <w:rPr>
          <w:rFonts w:hint="eastAsia"/>
        </w:rPr>
        <w:t>负责正线及综合车场的行车组织、施工管理及应急指挥等工作的人员，集成了传统行车调度员与车场调度员的岗位职责以及乘务与站务的部分职责。</w:t>
      </w:r>
    </w:p>
    <w:p>
      <w:pPr>
        <w:pStyle w:val="164"/>
      </w:pPr>
    </w:p>
    <w:p>
      <w:pPr>
        <w:pStyle w:val="58"/>
        <w:ind w:firstLine="420"/>
        <w:rPr>
          <w:rFonts w:ascii="黑体" w:hAnsi="黑体" w:eastAsia="黑体"/>
        </w:rPr>
      </w:pPr>
      <w:r>
        <w:rPr>
          <w:rFonts w:hint="eastAsia" w:ascii="黑体" w:hAnsi="黑体" w:eastAsia="黑体"/>
        </w:rPr>
        <w:t>设备调度员  equipment controller</w:t>
      </w:r>
    </w:p>
    <w:p>
      <w:pPr>
        <w:pStyle w:val="58"/>
        <w:ind w:firstLine="420"/>
      </w:pPr>
      <w:r>
        <w:rPr>
          <w:rFonts w:hint="eastAsia"/>
        </w:rPr>
        <w:t>负责全线设备设施统一调度管理，组织实施设备设施保养、检修及故障抢修等工作的人员，集成了传统维修调度、车辆调度、环控调度及电力调度的岗位职责。</w:t>
      </w:r>
    </w:p>
    <w:p>
      <w:pPr>
        <w:pStyle w:val="164"/>
        <w:numPr>
          <w:ilvl w:val="2"/>
          <w:numId w:val="2"/>
        </w:numPr>
        <w:tabs>
          <w:tab w:val="left" w:pos="0"/>
        </w:tabs>
      </w:pPr>
    </w:p>
    <w:p>
      <w:pPr>
        <w:pStyle w:val="58"/>
        <w:ind w:firstLine="420"/>
        <w:rPr>
          <w:rFonts w:ascii="黑体" w:hAnsi="黑体" w:eastAsia="黑体"/>
        </w:rPr>
      </w:pPr>
      <w:r>
        <w:rPr>
          <w:rFonts w:hint="eastAsia" w:ascii="黑体" w:hAnsi="黑体" w:eastAsia="黑体"/>
        </w:rPr>
        <w:t>乘客调度员  passenger controller</w:t>
      </w:r>
    </w:p>
    <w:p>
      <w:pPr>
        <w:pStyle w:val="58"/>
        <w:ind w:firstLine="420"/>
      </w:pPr>
      <w:r>
        <w:rPr>
          <w:rFonts w:hint="eastAsia"/>
        </w:rPr>
        <w:t>负责热线接听，受理投诉、咨询，实现远程客服指导，运营信息收发及客服广播管理等工作的人员，集成了传统信息调度员与客服专员的岗位职责。</w:t>
      </w:r>
    </w:p>
    <w:p>
      <w:pPr>
        <w:pStyle w:val="164"/>
        <w:numPr>
          <w:ilvl w:val="2"/>
          <w:numId w:val="2"/>
        </w:numPr>
        <w:tabs>
          <w:tab w:val="left" w:pos="0"/>
        </w:tabs>
      </w:pPr>
    </w:p>
    <w:p>
      <w:pPr>
        <w:pStyle w:val="58"/>
        <w:ind w:firstLine="420"/>
        <w:rPr>
          <w:rFonts w:ascii="黑体" w:hAnsi="黑体" w:eastAsia="黑体"/>
        </w:rPr>
      </w:pPr>
      <w:r>
        <w:rPr>
          <w:rFonts w:hint="eastAsia" w:ascii="黑体" w:hAnsi="黑体" w:eastAsia="黑体"/>
        </w:rPr>
        <w:t>司乘人员  driver and conductor</w:t>
      </w:r>
    </w:p>
    <w:p>
      <w:pPr>
        <w:pStyle w:val="58"/>
        <w:ind w:firstLine="420"/>
      </w:pPr>
      <w:r>
        <w:rPr>
          <w:rFonts w:hint="eastAsia"/>
        </w:rPr>
        <w:t>负责车站及列车客服组织、现场运行监控、应急处置等工作的人员，集成了传统乘务与站务的岗位职责。</w:t>
      </w:r>
    </w:p>
    <w:p>
      <w:pPr>
        <w:pStyle w:val="164"/>
        <w:numPr>
          <w:ilvl w:val="2"/>
          <w:numId w:val="2"/>
        </w:numPr>
        <w:tabs>
          <w:tab w:val="left" w:pos="0"/>
        </w:tabs>
      </w:pPr>
    </w:p>
    <w:p>
      <w:pPr>
        <w:pStyle w:val="58"/>
        <w:ind w:firstLine="420"/>
        <w:rPr>
          <w:rFonts w:ascii="黑体" w:hAnsi="黑体" w:eastAsia="黑体"/>
        </w:rPr>
      </w:pPr>
      <w:r>
        <w:rPr>
          <w:rFonts w:hint="eastAsia" w:ascii="黑体" w:hAnsi="黑体" w:eastAsia="黑体"/>
        </w:rPr>
        <w:t>轨道梁  track beam</w:t>
      </w:r>
    </w:p>
    <w:p>
      <w:pPr>
        <w:pStyle w:val="58"/>
        <w:ind w:firstLine="420"/>
      </w:pPr>
      <w:r>
        <w:rPr>
          <w:rFonts w:hint="eastAsia"/>
        </w:rPr>
        <w:t>承载导轨式胶轮车辆动载和静载，并实现走行和导向功能的钢筋混凝土结构或钢结构。</w:t>
      </w:r>
    </w:p>
    <w:p>
      <w:pPr>
        <w:pStyle w:val="164"/>
        <w:numPr>
          <w:ilvl w:val="2"/>
          <w:numId w:val="2"/>
        </w:numPr>
        <w:tabs>
          <w:tab w:val="left" w:pos="0"/>
        </w:tabs>
      </w:pPr>
    </w:p>
    <w:p>
      <w:pPr>
        <w:pStyle w:val="58"/>
        <w:ind w:firstLine="420"/>
        <w:rPr>
          <w:rFonts w:ascii="黑体" w:hAnsi="黑体" w:eastAsia="黑体"/>
        </w:rPr>
      </w:pPr>
      <w:r>
        <w:rPr>
          <w:rFonts w:hint="eastAsia" w:ascii="黑体" w:hAnsi="黑体" w:eastAsia="黑体"/>
        </w:rPr>
        <w:t>综合车场  integrated depot</w:t>
      </w:r>
    </w:p>
    <w:p>
      <w:pPr>
        <w:pStyle w:val="58"/>
        <w:ind w:firstLine="420"/>
      </w:pPr>
      <w:r>
        <w:rPr>
          <w:rFonts w:hint="eastAsia"/>
        </w:rPr>
        <w:t>设有停车线、检修线、洗车线等设施，承担车辆的日常停放、充电、维护、检修和清洁作业，承担设备、机具及工程车的维修作业，并兼具行政、技术和物资管理的综合场所。</w:t>
      </w:r>
    </w:p>
    <w:p>
      <w:pPr>
        <w:pStyle w:val="164"/>
        <w:numPr>
          <w:ilvl w:val="2"/>
          <w:numId w:val="2"/>
        </w:numPr>
        <w:tabs>
          <w:tab w:val="left" w:pos="0"/>
        </w:tabs>
      </w:pPr>
    </w:p>
    <w:p>
      <w:pPr>
        <w:pStyle w:val="58"/>
        <w:ind w:firstLine="420"/>
        <w:rPr>
          <w:rFonts w:ascii="黑体" w:hAnsi="黑体" w:eastAsia="黑体"/>
        </w:rPr>
      </w:pPr>
      <w:r>
        <w:rPr>
          <w:rFonts w:hint="eastAsia" w:ascii="黑体" w:hAnsi="黑体" w:eastAsia="黑体"/>
        </w:rPr>
        <w:t>全自动运行区域  fully automatic operation area</w:t>
      </w:r>
    </w:p>
    <w:p>
      <w:pPr>
        <w:pStyle w:val="58"/>
        <w:ind w:firstLine="420"/>
      </w:pPr>
      <w:r>
        <w:rPr>
          <w:rFonts w:hint="eastAsia"/>
        </w:rPr>
        <w:t>具备列车自动进站停车、自动开关门、自动发车、自动折返、自动出入场、休眠、唤醒、自动调车和自动洗车作业等全自动运行功能的区域。一般包括正线、折返线、渡线、停车线、出入场线、洗车线。</w:t>
      </w:r>
    </w:p>
    <w:p>
      <w:pPr>
        <w:pStyle w:val="164"/>
        <w:numPr>
          <w:ilvl w:val="2"/>
          <w:numId w:val="2"/>
        </w:numPr>
        <w:tabs>
          <w:tab w:val="left" w:pos="0"/>
        </w:tabs>
      </w:pPr>
    </w:p>
    <w:p>
      <w:pPr>
        <w:pStyle w:val="58"/>
        <w:ind w:firstLine="420"/>
        <w:rPr>
          <w:rFonts w:ascii="黑体" w:hAnsi="黑体" w:eastAsia="黑体"/>
        </w:rPr>
      </w:pPr>
      <w:r>
        <w:rPr>
          <w:rFonts w:hint="eastAsia" w:ascii="黑体" w:hAnsi="黑体" w:eastAsia="黑体"/>
        </w:rPr>
        <w:t>非全自动运行区域  not fully automatic operation area</w:t>
      </w:r>
    </w:p>
    <w:p>
      <w:pPr>
        <w:pStyle w:val="58"/>
        <w:ind w:firstLine="420"/>
      </w:pPr>
      <w:r>
        <w:rPr>
          <w:rFonts w:hint="eastAsia"/>
        </w:rPr>
        <w:t>不具备全自动运行功能的区域，一般包括检修线。</w:t>
      </w:r>
    </w:p>
    <w:p>
      <w:pPr>
        <w:pStyle w:val="164"/>
        <w:numPr>
          <w:ilvl w:val="2"/>
          <w:numId w:val="2"/>
        </w:numPr>
        <w:tabs>
          <w:tab w:val="left" w:pos="0"/>
        </w:tabs>
      </w:pPr>
    </w:p>
    <w:p>
      <w:pPr>
        <w:pStyle w:val="58"/>
        <w:ind w:firstLine="420"/>
        <w:rPr>
          <w:rFonts w:ascii="黑体" w:hAnsi="黑体" w:eastAsia="黑体"/>
        </w:rPr>
      </w:pPr>
      <w:r>
        <w:rPr>
          <w:rFonts w:hint="eastAsia" w:ascii="黑体" w:hAnsi="黑体" w:eastAsia="黑体"/>
        </w:rPr>
        <w:t>休眠  sleep</w:t>
      </w:r>
    </w:p>
    <w:p>
      <w:pPr>
        <w:pStyle w:val="58"/>
        <w:ind w:firstLine="420"/>
      </w:pPr>
      <w:r>
        <w:rPr>
          <w:rFonts w:hint="eastAsia"/>
        </w:rPr>
        <w:t>对停放于综合车场停车线、正线停车线或终端折返线指定区域的列车，对除休眠唤醒单元及车地通信设备外的整列车设备进行断电的一种作业。</w:t>
      </w:r>
    </w:p>
    <w:p>
      <w:pPr>
        <w:pStyle w:val="164"/>
        <w:numPr>
          <w:ilvl w:val="2"/>
          <w:numId w:val="2"/>
        </w:numPr>
        <w:tabs>
          <w:tab w:val="left" w:pos="0"/>
        </w:tabs>
      </w:pPr>
    </w:p>
    <w:p>
      <w:pPr>
        <w:pStyle w:val="58"/>
        <w:ind w:firstLine="420"/>
        <w:rPr>
          <w:rFonts w:ascii="黑体" w:hAnsi="黑体" w:eastAsia="黑体"/>
        </w:rPr>
      </w:pPr>
      <w:r>
        <w:rPr>
          <w:rFonts w:hint="eastAsia" w:ascii="黑体" w:hAnsi="黑体" w:eastAsia="黑体"/>
        </w:rPr>
        <w:t>唤醒  awake</w:t>
      </w:r>
    </w:p>
    <w:p>
      <w:pPr>
        <w:pStyle w:val="58"/>
        <w:ind w:firstLine="420"/>
      </w:pPr>
      <w:r>
        <w:rPr>
          <w:rFonts w:hint="eastAsia"/>
        </w:rPr>
        <w:t>对休眠列车上电并完成上电自检、静态测试、动态测试等的一种作业。</w:t>
      </w:r>
    </w:p>
    <w:p>
      <w:pPr>
        <w:pStyle w:val="164"/>
        <w:numPr>
          <w:ilvl w:val="2"/>
          <w:numId w:val="2"/>
        </w:numPr>
        <w:tabs>
          <w:tab w:val="left" w:pos="0"/>
        </w:tabs>
      </w:pPr>
    </w:p>
    <w:p>
      <w:pPr>
        <w:pStyle w:val="58"/>
        <w:ind w:firstLine="420"/>
        <w:rPr>
          <w:rFonts w:ascii="黑体" w:hAnsi="黑体" w:eastAsia="黑体"/>
        </w:rPr>
      </w:pPr>
      <w:r>
        <w:rPr>
          <w:rFonts w:hint="eastAsia" w:ascii="黑体" w:hAnsi="黑体" w:eastAsia="黑体"/>
        </w:rPr>
        <w:t>列车运行</w:t>
      </w:r>
      <w:r>
        <w:rPr>
          <w:rFonts w:ascii="黑体" w:hAnsi="黑体" w:eastAsia="黑体"/>
        </w:rPr>
        <w:t>计划</w:t>
      </w:r>
      <w:r>
        <w:rPr>
          <w:rFonts w:hint="eastAsia" w:ascii="黑体" w:hAnsi="黑体" w:eastAsia="黑体"/>
        </w:rPr>
        <w:t xml:space="preserve">  tra</w:t>
      </w:r>
      <w:r>
        <w:rPr>
          <w:rFonts w:ascii="黑体" w:hAnsi="黑体" w:eastAsia="黑体"/>
        </w:rPr>
        <w:t>in</w:t>
      </w:r>
      <w:r>
        <w:rPr>
          <w:rFonts w:hint="eastAsia" w:ascii="黑体" w:hAnsi="黑体" w:eastAsia="黑体"/>
        </w:rPr>
        <w:t xml:space="preserve"> </w:t>
      </w:r>
      <w:r>
        <w:rPr>
          <w:rFonts w:ascii="黑体" w:hAnsi="黑体" w:eastAsia="黑体"/>
        </w:rPr>
        <w:t>operations plan</w:t>
      </w:r>
    </w:p>
    <w:p>
      <w:pPr>
        <w:pStyle w:val="58"/>
        <w:ind w:firstLine="420"/>
      </w:pPr>
      <w:r>
        <w:rPr>
          <w:rFonts w:hint="eastAsia"/>
        </w:rPr>
        <w:t>城市轨道交通</w:t>
      </w:r>
      <w:r>
        <w:t>行车</w:t>
      </w:r>
      <w:r>
        <w:rPr>
          <w:rFonts w:hint="eastAsia"/>
        </w:rPr>
        <w:t>组织</w:t>
      </w:r>
      <w:r>
        <w:t>的综合计划，包括</w:t>
      </w:r>
      <w:r>
        <w:rPr>
          <w:rFonts w:hint="eastAsia"/>
        </w:rPr>
        <w:t>列车</w:t>
      </w:r>
      <w:r>
        <w:t>的运行计划、设</w:t>
      </w:r>
      <w:r>
        <w:rPr>
          <w:rFonts w:hint="eastAsia"/>
          <w:lang w:eastAsia="zh-CN"/>
        </w:rPr>
        <w:t>备</w:t>
      </w:r>
      <w:r>
        <w:t>设施的运</w:t>
      </w:r>
      <w:r>
        <w:rPr>
          <w:rFonts w:hint="eastAsia"/>
        </w:rPr>
        <w:t>用计划</w:t>
      </w:r>
      <w:r>
        <w:t>，及其</w:t>
      </w:r>
      <w:r>
        <w:rPr>
          <w:rFonts w:hint="eastAsia"/>
        </w:rPr>
        <w:t>与</w:t>
      </w:r>
      <w:r>
        <w:t>行车组织</w:t>
      </w:r>
      <w:r>
        <w:rPr>
          <w:rFonts w:hint="eastAsia"/>
        </w:rPr>
        <w:t>有关的</w:t>
      </w:r>
      <w:r>
        <w:t>工作任务</w:t>
      </w:r>
      <w:r>
        <w:rPr>
          <w:rFonts w:hint="eastAsia"/>
        </w:rPr>
        <w:t>。</w:t>
      </w:r>
    </w:p>
    <w:p>
      <w:pPr>
        <w:pStyle w:val="164"/>
        <w:numPr>
          <w:ilvl w:val="2"/>
          <w:numId w:val="2"/>
        </w:numPr>
        <w:tabs>
          <w:tab w:val="left" w:pos="0"/>
        </w:tabs>
        <w:rPr>
          <w:highlight w:val="none"/>
        </w:rPr>
      </w:pPr>
    </w:p>
    <w:p>
      <w:pPr>
        <w:pStyle w:val="58"/>
        <w:ind w:firstLine="420"/>
        <w:rPr>
          <w:rFonts w:ascii="黑体" w:hAnsi="黑体" w:eastAsia="黑体"/>
          <w:highlight w:val="none"/>
        </w:rPr>
      </w:pPr>
      <w:r>
        <w:rPr>
          <w:rFonts w:hint="eastAsia" w:ascii="黑体" w:hAnsi="黑体" w:eastAsia="黑体"/>
          <w:highlight w:val="none"/>
        </w:rPr>
        <w:t>闭塞区</w:t>
      </w:r>
      <w:r>
        <w:rPr>
          <w:rFonts w:hint="eastAsia" w:ascii="黑体" w:hAnsi="黑体" w:eastAsia="黑体"/>
          <w:highlight w:val="none"/>
          <w:lang w:eastAsia="zh-CN"/>
        </w:rPr>
        <w:t>域</w:t>
      </w:r>
      <w:r>
        <w:rPr>
          <w:rFonts w:hint="eastAsia" w:ascii="黑体" w:hAnsi="黑体" w:eastAsia="黑体"/>
          <w:highlight w:val="none"/>
        </w:rPr>
        <w:t xml:space="preserve">  </w:t>
      </w:r>
      <w:r>
        <w:rPr>
          <w:rFonts w:ascii="黑体" w:hAnsi="黑体" w:eastAsia="黑体"/>
          <w:highlight w:val="none"/>
        </w:rPr>
        <w:t>block region</w:t>
      </w:r>
    </w:p>
    <w:p>
      <w:pPr>
        <w:pStyle w:val="58"/>
        <w:ind w:firstLine="420"/>
        <w:rPr>
          <w:rFonts w:hint="eastAsia"/>
          <w:highlight w:val="none"/>
        </w:rPr>
      </w:pPr>
      <w:r>
        <w:rPr>
          <w:rFonts w:hint="eastAsia"/>
          <w:highlight w:val="none"/>
        </w:rPr>
        <w:t>以</w:t>
      </w:r>
      <w:r>
        <w:rPr>
          <w:highlight w:val="none"/>
        </w:rPr>
        <w:t>信号机、区域分</w:t>
      </w:r>
      <w:r>
        <w:rPr>
          <w:rFonts w:hint="eastAsia"/>
          <w:highlight w:val="none"/>
          <w:lang w:eastAsia="zh-CN"/>
        </w:rPr>
        <w:t>界</w:t>
      </w:r>
      <w:r>
        <w:rPr>
          <w:rFonts w:hint="eastAsia"/>
          <w:highlight w:val="none"/>
        </w:rPr>
        <w:t>标划</w:t>
      </w:r>
      <w:r>
        <w:rPr>
          <w:highlight w:val="none"/>
        </w:rPr>
        <w:t>分的固定区域，或信号</w:t>
      </w:r>
      <w:r>
        <w:rPr>
          <w:rFonts w:hint="eastAsia"/>
          <w:highlight w:val="none"/>
        </w:rPr>
        <w:t>系统</w:t>
      </w:r>
      <w:r>
        <w:rPr>
          <w:highlight w:val="none"/>
        </w:rPr>
        <w:t>设定的移动闭塞划分的区域</w:t>
      </w:r>
      <w:r>
        <w:rPr>
          <w:rFonts w:hint="eastAsia"/>
          <w:highlight w:val="none"/>
        </w:rPr>
        <w:t>。</w:t>
      </w:r>
    </w:p>
    <w:p>
      <w:pPr>
        <w:pStyle w:val="164"/>
        <w:numPr>
          <w:ilvl w:val="2"/>
          <w:numId w:val="2"/>
        </w:numPr>
        <w:tabs>
          <w:tab w:val="left" w:pos="0"/>
        </w:tabs>
        <w:rPr>
          <w:rFonts w:hint="eastAsia"/>
          <w:highlight w:val="none"/>
        </w:rPr>
      </w:pPr>
    </w:p>
    <w:p>
      <w:pPr>
        <w:pStyle w:val="58"/>
        <w:ind w:firstLine="420"/>
        <w:rPr>
          <w:rFonts w:hint="eastAsia" w:ascii="黑体" w:hAnsi="黑体" w:eastAsia="黑体"/>
          <w:highlight w:val="none"/>
        </w:rPr>
      </w:pPr>
      <w:r>
        <w:rPr>
          <w:rFonts w:hint="eastAsia" w:ascii="黑体" w:hAnsi="黑体" w:eastAsia="黑体"/>
          <w:highlight w:val="none"/>
        </w:rPr>
        <w:t>ATO目标速度  ATO target speed</w:t>
      </w:r>
    </w:p>
    <w:p>
      <w:pPr>
        <w:pStyle w:val="58"/>
        <w:ind w:firstLine="420"/>
        <w:rPr>
          <w:rFonts w:hint="eastAsia"/>
          <w:highlight w:val="none"/>
        </w:rPr>
      </w:pPr>
      <w:r>
        <w:rPr>
          <w:rFonts w:hint="eastAsia"/>
          <w:highlight w:val="none"/>
        </w:rPr>
        <w:t>列车自动驾驶（AM）模式下，期望列车持续运行的速度。信号ATO子系统控制列车的运行速度可在ATO目标速度上下小幅波动。</w:t>
      </w:r>
    </w:p>
    <w:p>
      <w:pPr>
        <w:pStyle w:val="164"/>
        <w:numPr>
          <w:ilvl w:val="2"/>
          <w:numId w:val="2"/>
        </w:numPr>
        <w:tabs>
          <w:tab w:val="left" w:pos="0"/>
        </w:tabs>
        <w:rPr>
          <w:rFonts w:hint="eastAsia"/>
          <w:highlight w:val="none"/>
        </w:rPr>
      </w:pPr>
    </w:p>
    <w:p>
      <w:pPr>
        <w:pStyle w:val="58"/>
        <w:ind w:firstLine="420"/>
        <w:rPr>
          <w:rFonts w:hint="eastAsia" w:ascii="黑体" w:hAnsi="黑体" w:eastAsia="黑体"/>
          <w:highlight w:val="none"/>
        </w:rPr>
      </w:pPr>
      <w:r>
        <w:rPr>
          <w:rFonts w:hint="eastAsia" w:ascii="黑体" w:hAnsi="黑体" w:eastAsia="黑体"/>
          <w:highlight w:val="none"/>
        </w:rPr>
        <w:t>线路等级速度  speed reflecting line class</w:t>
      </w:r>
    </w:p>
    <w:p>
      <w:pPr>
        <w:pStyle w:val="58"/>
        <w:ind w:firstLine="420"/>
        <w:rPr>
          <w:rFonts w:hint="eastAsia"/>
          <w:highlight w:val="none"/>
        </w:rPr>
      </w:pPr>
      <w:r>
        <w:rPr>
          <w:rFonts w:hint="eastAsia"/>
          <w:highlight w:val="none"/>
        </w:rPr>
        <w:t>为满足线路规划功能，以达到线路沿线主要组团间出行时间目标为目的，综合运营需求、线路工程条件、车站设置、投资效益等因素，同时充分发挥系统设施设备能力，经分析确定体现线路功能定位及运营需求的速度。</w:t>
      </w:r>
    </w:p>
    <w:p>
      <w:pPr>
        <w:pStyle w:val="164"/>
        <w:numPr>
          <w:ilvl w:val="2"/>
          <w:numId w:val="2"/>
        </w:numPr>
        <w:tabs>
          <w:tab w:val="left" w:pos="0"/>
        </w:tabs>
        <w:rPr>
          <w:rFonts w:hint="eastAsia"/>
          <w:highlight w:val="none"/>
        </w:rPr>
      </w:pPr>
    </w:p>
    <w:p>
      <w:pPr>
        <w:pStyle w:val="58"/>
        <w:ind w:firstLine="420"/>
        <w:rPr>
          <w:rFonts w:hint="eastAsia" w:ascii="黑体" w:hAnsi="黑体" w:eastAsia="黑体"/>
          <w:highlight w:val="none"/>
        </w:rPr>
      </w:pPr>
      <w:r>
        <w:rPr>
          <w:rFonts w:hint="eastAsia" w:ascii="黑体" w:hAnsi="黑体" w:eastAsia="黑体"/>
          <w:highlight w:val="none"/>
        </w:rPr>
        <w:t>ATP顶棚速度  ATP ceiling speed</w:t>
      </w:r>
    </w:p>
    <w:p>
      <w:pPr>
        <w:pStyle w:val="58"/>
        <w:ind w:firstLine="420"/>
        <w:rPr>
          <w:rFonts w:hint="eastAsia"/>
          <w:highlight w:val="none"/>
        </w:rPr>
      </w:pPr>
      <w:r>
        <w:rPr>
          <w:rFonts w:hint="eastAsia"/>
          <w:highlight w:val="none"/>
        </w:rPr>
        <w:t>ATP子系统保证在最不利条件下列车不得超过的速度。</w:t>
      </w:r>
    </w:p>
    <w:p>
      <w:pPr>
        <w:pStyle w:val="164"/>
        <w:numPr>
          <w:ilvl w:val="2"/>
          <w:numId w:val="2"/>
        </w:numPr>
        <w:tabs>
          <w:tab w:val="left" w:pos="0"/>
        </w:tabs>
      </w:pPr>
    </w:p>
    <w:p>
      <w:pPr>
        <w:pStyle w:val="58"/>
        <w:ind w:firstLine="420"/>
        <w:rPr>
          <w:rFonts w:ascii="黑体" w:hAnsi="黑体" w:eastAsia="黑体"/>
        </w:rPr>
      </w:pPr>
      <w:r>
        <w:rPr>
          <w:rFonts w:hint="eastAsia" w:ascii="黑体" w:hAnsi="黑体" w:eastAsia="黑体"/>
        </w:rPr>
        <w:t xml:space="preserve">限界 </w:t>
      </w:r>
      <w:r>
        <w:rPr>
          <w:rFonts w:ascii="黑体" w:hAnsi="黑体" w:eastAsia="黑体"/>
        </w:rPr>
        <w:t xml:space="preserve"> gauge</w:t>
      </w:r>
    </w:p>
    <w:p>
      <w:pPr>
        <w:pStyle w:val="58"/>
        <w:ind w:firstLine="420"/>
      </w:pPr>
      <w:r>
        <w:rPr>
          <w:rFonts w:ascii="Helvetica" w:hAnsi="Helvetica"/>
          <w:color w:val="333333"/>
          <w:szCs w:val="21"/>
          <w:shd w:val="clear" w:color="auto" w:fill="FFFFFF"/>
        </w:rPr>
        <w:t>限</w:t>
      </w:r>
      <w:r>
        <w:rPr>
          <w:rFonts w:hint="eastAsia" w:ascii="Helvetica" w:hAnsi="Helvetica"/>
          <w:color w:val="333333"/>
          <w:szCs w:val="21"/>
          <w:shd w:val="clear" w:color="auto" w:fill="FFFFFF"/>
        </w:rPr>
        <w:t>定</w:t>
      </w:r>
      <w:r>
        <w:rPr>
          <w:rFonts w:ascii="Helvetica" w:hAnsi="Helvetica"/>
          <w:color w:val="333333"/>
          <w:szCs w:val="21"/>
          <w:shd w:val="clear" w:color="auto" w:fill="FFFFFF"/>
        </w:rPr>
        <w:t>车辆运行</w:t>
      </w:r>
      <w:r>
        <w:rPr>
          <w:rFonts w:hint="eastAsia" w:ascii="Helvetica" w:hAnsi="Helvetica"/>
          <w:color w:val="333333"/>
          <w:szCs w:val="21"/>
          <w:shd w:val="clear" w:color="auto" w:fill="FFFFFF"/>
        </w:rPr>
        <w:t>及</w:t>
      </w:r>
      <w:r>
        <w:rPr>
          <w:rFonts w:ascii="Helvetica" w:hAnsi="Helvetica"/>
          <w:color w:val="333333"/>
          <w:szCs w:val="21"/>
          <w:shd w:val="clear" w:color="auto" w:fill="FFFFFF"/>
        </w:rPr>
        <w:t>轨道</w:t>
      </w:r>
      <w:r>
        <w:rPr>
          <w:rFonts w:hint="eastAsia" w:ascii="Helvetica" w:hAnsi="Helvetica"/>
          <w:color w:val="333333"/>
          <w:szCs w:val="21"/>
          <w:shd w:val="clear" w:color="auto" w:fill="FFFFFF"/>
        </w:rPr>
        <w:t>区</w:t>
      </w:r>
      <w:r>
        <w:rPr>
          <w:rFonts w:ascii="Helvetica" w:hAnsi="Helvetica"/>
          <w:color w:val="333333"/>
          <w:szCs w:val="21"/>
          <w:shd w:val="clear" w:color="auto" w:fill="FFFFFF"/>
        </w:rPr>
        <w:t>周围构建</w:t>
      </w:r>
      <w:r>
        <w:rPr>
          <w:rFonts w:hint="eastAsia" w:ascii="Helvetica" w:hAnsi="Helvetica"/>
          <w:color w:val="333333"/>
          <w:szCs w:val="21"/>
          <w:shd w:val="clear" w:color="auto" w:fill="FFFFFF"/>
        </w:rPr>
        <w:t>物超越</w:t>
      </w:r>
      <w:r>
        <w:rPr>
          <w:rFonts w:ascii="Helvetica" w:hAnsi="Helvetica"/>
          <w:color w:val="333333"/>
          <w:szCs w:val="21"/>
          <w:shd w:val="clear" w:color="auto" w:fill="FFFFFF"/>
        </w:rPr>
        <w:t>的轮廓尺寸线</w:t>
      </w:r>
      <w:r>
        <w:rPr>
          <w:rFonts w:hint="eastAsia" w:ascii="Helvetica" w:hAnsi="Helvetica"/>
          <w:color w:val="333333"/>
          <w:szCs w:val="21"/>
          <w:shd w:val="clear" w:color="auto" w:fill="FFFFFF"/>
        </w:rPr>
        <w:t>，</w:t>
      </w:r>
      <w:r>
        <w:rPr>
          <w:rFonts w:ascii="Helvetica" w:hAnsi="Helvetica"/>
          <w:color w:val="333333"/>
          <w:szCs w:val="21"/>
          <w:shd w:val="clear" w:color="auto" w:fill="FFFFFF"/>
        </w:rPr>
        <w:t>分为</w:t>
      </w:r>
      <w:r>
        <w:rPr>
          <w:rFonts w:hint="eastAsia" w:ascii="Helvetica" w:hAnsi="Helvetica"/>
          <w:color w:val="333333"/>
          <w:szCs w:val="21"/>
          <w:shd w:val="clear" w:color="auto" w:fill="FFFFFF"/>
        </w:rPr>
        <w:t>车辆</w:t>
      </w:r>
      <w:r>
        <w:rPr>
          <w:rFonts w:ascii="Helvetica" w:hAnsi="Helvetica"/>
          <w:color w:val="333333"/>
          <w:szCs w:val="21"/>
          <w:shd w:val="clear" w:color="auto" w:fill="FFFFFF"/>
        </w:rPr>
        <w:t>限界、</w:t>
      </w:r>
      <w:r>
        <w:rPr>
          <w:rFonts w:hint="eastAsia" w:ascii="Helvetica" w:hAnsi="Helvetica"/>
          <w:color w:val="333333"/>
          <w:szCs w:val="21"/>
          <w:shd w:val="clear" w:color="auto" w:fill="FFFFFF"/>
        </w:rPr>
        <w:t>设备</w:t>
      </w:r>
      <w:r>
        <w:rPr>
          <w:rFonts w:ascii="Helvetica" w:hAnsi="Helvetica"/>
          <w:color w:val="333333"/>
          <w:szCs w:val="21"/>
          <w:shd w:val="clear" w:color="auto" w:fill="FFFFFF"/>
        </w:rPr>
        <w:t>限界</w:t>
      </w:r>
      <w:r>
        <w:rPr>
          <w:rFonts w:hint="eastAsia" w:ascii="Helvetica" w:hAnsi="Helvetica"/>
          <w:color w:val="333333"/>
          <w:szCs w:val="21"/>
          <w:shd w:val="clear" w:color="auto" w:fill="FFFFFF"/>
        </w:rPr>
        <w:t>和</w:t>
      </w:r>
      <w:r>
        <w:rPr>
          <w:rFonts w:ascii="Helvetica" w:hAnsi="Helvetica"/>
          <w:color w:val="333333"/>
          <w:szCs w:val="21"/>
          <w:shd w:val="clear" w:color="auto" w:fill="FFFFFF"/>
        </w:rPr>
        <w:t>建筑限界</w:t>
      </w:r>
      <w:r>
        <w:rPr>
          <w:rFonts w:hint="eastAsia"/>
        </w:rPr>
        <w:t>。</w:t>
      </w:r>
    </w:p>
    <w:p>
      <w:pPr>
        <w:pStyle w:val="164"/>
        <w:numPr>
          <w:ilvl w:val="2"/>
          <w:numId w:val="2"/>
        </w:numPr>
        <w:tabs>
          <w:tab w:val="left" w:pos="0"/>
        </w:tabs>
      </w:pPr>
    </w:p>
    <w:p>
      <w:pPr>
        <w:pStyle w:val="58"/>
        <w:ind w:firstLine="420"/>
        <w:rPr>
          <w:rFonts w:ascii="黑体" w:hAnsi="黑体" w:eastAsia="黑体"/>
        </w:rPr>
      </w:pPr>
      <w:r>
        <w:rPr>
          <w:rFonts w:hint="eastAsia" w:ascii="黑体" w:hAnsi="黑体" w:eastAsia="黑体"/>
        </w:rPr>
        <w:t xml:space="preserve">调车作业  </w:t>
      </w:r>
      <w:r>
        <w:rPr>
          <w:rFonts w:ascii="黑体" w:hAnsi="黑体" w:eastAsia="黑体"/>
        </w:rPr>
        <w:t>shunting operation</w:t>
      </w:r>
    </w:p>
    <w:p>
      <w:pPr>
        <w:pStyle w:val="58"/>
        <w:ind w:firstLine="420"/>
      </w:pPr>
      <w:r>
        <w:rPr>
          <w:rFonts w:hint="eastAsia"/>
        </w:rPr>
        <w:t>除</w:t>
      </w:r>
      <w:r>
        <w:t>列车在车站和</w:t>
      </w:r>
      <w:r>
        <w:rPr>
          <w:rFonts w:hint="eastAsia"/>
          <w:lang w:eastAsia="zh-CN"/>
        </w:rPr>
        <w:t>综合车场</w:t>
      </w:r>
      <w:r>
        <w:t>到发以外的一切</w:t>
      </w:r>
      <w:r>
        <w:rPr>
          <w:rFonts w:hint="eastAsia"/>
        </w:rPr>
        <w:t>车辆</w:t>
      </w:r>
      <w:r>
        <w:t>或列车</w:t>
      </w:r>
      <w:r>
        <w:rPr>
          <w:rFonts w:hint="eastAsia"/>
          <w:lang w:eastAsia="zh-CN"/>
        </w:rPr>
        <w:t>有</w:t>
      </w:r>
      <w:r>
        <w:rPr>
          <w:rFonts w:hint="eastAsia"/>
        </w:rPr>
        <w:t>目的</w:t>
      </w:r>
      <w:r>
        <w:t>的</w:t>
      </w:r>
      <w:r>
        <w:rPr>
          <w:rFonts w:hint="eastAsia"/>
        </w:rPr>
        <w:t>移动</w:t>
      </w:r>
      <w:r>
        <w:t>作业。</w:t>
      </w:r>
    </w:p>
    <w:p>
      <w:pPr>
        <w:pStyle w:val="164"/>
        <w:numPr>
          <w:ilvl w:val="2"/>
          <w:numId w:val="2"/>
        </w:numPr>
        <w:tabs>
          <w:tab w:val="left" w:pos="0"/>
        </w:tabs>
      </w:pPr>
    </w:p>
    <w:p>
      <w:pPr>
        <w:pStyle w:val="58"/>
        <w:ind w:firstLine="420"/>
        <w:rPr>
          <w:rFonts w:ascii="黑体" w:hAnsi="黑体" w:eastAsia="黑体"/>
        </w:rPr>
      </w:pPr>
      <w:r>
        <w:rPr>
          <w:rFonts w:hint="eastAsia" w:ascii="黑体" w:hAnsi="黑体" w:eastAsia="黑体"/>
        </w:rPr>
        <w:t xml:space="preserve">越站  </w:t>
      </w:r>
      <w:r>
        <w:rPr>
          <w:rFonts w:ascii="黑体" w:hAnsi="黑体" w:eastAsia="黑体"/>
        </w:rPr>
        <w:t>overtaking</w:t>
      </w:r>
    </w:p>
    <w:p>
      <w:pPr>
        <w:pStyle w:val="58"/>
        <w:ind w:firstLine="420"/>
      </w:pPr>
      <w:r>
        <w:rPr>
          <w:rFonts w:hint="eastAsia"/>
        </w:rPr>
        <w:t>列车</w:t>
      </w:r>
      <w:r>
        <w:t>不停站通过计划停靠</w:t>
      </w:r>
      <w:r>
        <w:rPr>
          <w:rFonts w:hint="eastAsia"/>
        </w:rPr>
        <w:t>车站</w:t>
      </w:r>
      <w:r>
        <w:t>的过程</w:t>
      </w:r>
      <w:r>
        <w:rPr>
          <w:rFonts w:hint="eastAsia"/>
        </w:rPr>
        <w:t>。</w:t>
      </w:r>
    </w:p>
    <w:p>
      <w:pPr>
        <w:pStyle w:val="164"/>
        <w:numPr>
          <w:ilvl w:val="2"/>
          <w:numId w:val="2"/>
        </w:numPr>
        <w:tabs>
          <w:tab w:val="left" w:pos="0"/>
        </w:tabs>
      </w:pPr>
    </w:p>
    <w:p>
      <w:pPr>
        <w:pStyle w:val="58"/>
        <w:ind w:firstLine="420"/>
        <w:rPr>
          <w:rFonts w:ascii="黑体" w:hAnsi="黑体" w:eastAsia="黑体"/>
        </w:rPr>
      </w:pPr>
      <w:r>
        <w:rPr>
          <w:rFonts w:hint="eastAsia" w:ascii="黑体" w:hAnsi="黑体" w:eastAsia="黑体"/>
        </w:rPr>
        <w:t xml:space="preserve">列车救援  </w:t>
      </w:r>
      <w:r>
        <w:rPr>
          <w:rFonts w:ascii="黑体" w:hAnsi="黑体" w:eastAsia="黑体"/>
        </w:rPr>
        <w:t>train rescue</w:t>
      </w:r>
    </w:p>
    <w:p>
      <w:pPr>
        <w:pStyle w:val="58"/>
        <w:ind w:firstLine="420"/>
      </w:pPr>
      <w:r>
        <w:rPr>
          <w:rFonts w:hint="eastAsia"/>
        </w:rPr>
        <w:t>通过</w:t>
      </w:r>
      <w:r>
        <w:t>车辆连</w:t>
      </w:r>
      <w:r>
        <w:rPr>
          <w:rFonts w:hint="eastAsia"/>
        </w:rPr>
        <w:t>挂</w:t>
      </w:r>
      <w:r>
        <w:t>将正线或配线上的故障车</w:t>
      </w:r>
      <w:r>
        <w:rPr>
          <w:rFonts w:hint="eastAsia"/>
        </w:rPr>
        <w:t>辆牵引</w:t>
      </w:r>
      <w:r>
        <w:t>或推进运行撤离的措施</w:t>
      </w:r>
      <w:r>
        <w:rPr>
          <w:rFonts w:hint="eastAsia"/>
        </w:rPr>
        <w:t>。</w:t>
      </w:r>
    </w:p>
    <w:p>
      <w:pPr>
        <w:pStyle w:val="164"/>
        <w:numPr>
          <w:ilvl w:val="2"/>
          <w:numId w:val="2"/>
        </w:numPr>
        <w:tabs>
          <w:tab w:val="left" w:pos="0"/>
        </w:tabs>
      </w:pPr>
    </w:p>
    <w:p>
      <w:pPr>
        <w:pStyle w:val="58"/>
        <w:ind w:firstLine="420"/>
        <w:rPr>
          <w:rFonts w:ascii="黑体" w:hAnsi="黑体" w:eastAsia="黑体"/>
        </w:rPr>
      </w:pPr>
      <w:r>
        <w:rPr>
          <w:rFonts w:hint="eastAsia" w:ascii="黑体" w:hAnsi="黑体" w:eastAsia="黑体"/>
        </w:rPr>
        <w:t>运营控制</w:t>
      </w:r>
      <w:r>
        <w:rPr>
          <w:rFonts w:ascii="黑体" w:hAnsi="黑体" w:eastAsia="黑体"/>
        </w:rPr>
        <w:t>中心</w:t>
      </w:r>
      <w:r>
        <w:rPr>
          <w:rFonts w:hint="eastAsia" w:ascii="黑体" w:hAnsi="黑体" w:eastAsia="黑体"/>
        </w:rPr>
        <w:t xml:space="preserve">  </w:t>
      </w:r>
      <w:r>
        <w:rPr>
          <w:rFonts w:ascii="黑体" w:hAnsi="黑体" w:eastAsia="黑体"/>
        </w:rPr>
        <w:t>operation control center</w:t>
      </w:r>
      <w:r>
        <w:rPr>
          <w:rFonts w:hint="eastAsia" w:ascii="黑体" w:hAnsi="黑体" w:eastAsia="黑体"/>
        </w:rPr>
        <w:t>（OCC）</w:t>
      </w:r>
    </w:p>
    <w:p>
      <w:pPr>
        <w:pStyle w:val="58"/>
        <w:ind w:firstLine="420"/>
      </w:pPr>
      <w:r>
        <w:rPr>
          <w:rFonts w:hint="eastAsia"/>
        </w:rPr>
        <w:t>对导轨式</w:t>
      </w:r>
      <w:r>
        <w:t>胶轮系统</w:t>
      </w:r>
      <w:r>
        <w:rPr>
          <w:rFonts w:hint="eastAsia"/>
        </w:rPr>
        <w:t>运营实施</w:t>
      </w:r>
      <w:r>
        <w:t>集中监控和管理的场所</w:t>
      </w:r>
      <w:r>
        <w:rPr>
          <w:rFonts w:hint="eastAsia"/>
        </w:rPr>
        <w:t>。</w:t>
      </w:r>
    </w:p>
    <w:p>
      <w:pPr>
        <w:pStyle w:val="164"/>
        <w:numPr>
          <w:ilvl w:val="2"/>
          <w:numId w:val="2"/>
        </w:numPr>
        <w:tabs>
          <w:tab w:val="left" w:pos="0"/>
        </w:tabs>
      </w:pPr>
    </w:p>
    <w:p>
      <w:pPr>
        <w:pStyle w:val="58"/>
        <w:ind w:firstLine="420"/>
        <w:rPr>
          <w:rFonts w:ascii="黑体" w:hAnsi="黑体" w:eastAsia="黑体"/>
        </w:rPr>
      </w:pPr>
      <w:r>
        <w:rPr>
          <w:rFonts w:hint="eastAsia" w:ascii="黑体" w:hAnsi="黑体" w:eastAsia="黑体"/>
        </w:rPr>
        <w:t>列车自动</w:t>
      </w:r>
      <w:r>
        <w:rPr>
          <w:rFonts w:ascii="黑体" w:hAnsi="黑体" w:eastAsia="黑体"/>
        </w:rPr>
        <w:t>防护</w:t>
      </w:r>
      <w:r>
        <w:rPr>
          <w:rFonts w:hint="eastAsia" w:ascii="黑体" w:hAnsi="黑体" w:eastAsia="黑体"/>
        </w:rPr>
        <w:t xml:space="preserve">  </w:t>
      </w:r>
      <w:r>
        <w:rPr>
          <w:rFonts w:ascii="黑体" w:hAnsi="黑体" w:eastAsia="黑体"/>
        </w:rPr>
        <w:t>automatic train protection</w:t>
      </w:r>
      <w:r>
        <w:rPr>
          <w:rFonts w:hint="eastAsia" w:ascii="黑体" w:hAnsi="黑体" w:eastAsia="黑体"/>
        </w:rPr>
        <w:t>（ATP）</w:t>
      </w:r>
    </w:p>
    <w:p>
      <w:pPr>
        <w:pStyle w:val="58"/>
        <w:ind w:firstLine="420"/>
      </w:pPr>
      <w:r>
        <w:rPr>
          <w:rFonts w:hint="eastAsia"/>
        </w:rPr>
        <w:t>自动实现</w:t>
      </w:r>
      <w:r>
        <w:t>列车运行间隔、超</w:t>
      </w:r>
      <w:r>
        <w:rPr>
          <w:rFonts w:hint="eastAsia"/>
        </w:rPr>
        <w:t>速防护、</w:t>
      </w:r>
      <w:r>
        <w:t>进路和</w:t>
      </w:r>
      <w:r>
        <w:rPr>
          <w:rFonts w:hint="eastAsia"/>
        </w:rPr>
        <w:t>车门</w:t>
      </w:r>
      <w:r>
        <w:t>等监控技术</w:t>
      </w:r>
      <w:r>
        <w:rPr>
          <w:rFonts w:hint="eastAsia"/>
        </w:rPr>
        <w:t>的</w:t>
      </w:r>
      <w:r>
        <w:t>总</w:t>
      </w:r>
      <w:r>
        <w:rPr>
          <w:rFonts w:hint="eastAsia"/>
        </w:rPr>
        <w:t>称。</w:t>
      </w:r>
    </w:p>
    <w:p>
      <w:pPr>
        <w:pStyle w:val="164"/>
        <w:numPr>
          <w:ilvl w:val="2"/>
          <w:numId w:val="2"/>
        </w:numPr>
        <w:tabs>
          <w:tab w:val="left" w:pos="0"/>
        </w:tabs>
      </w:pPr>
    </w:p>
    <w:p>
      <w:pPr>
        <w:pStyle w:val="58"/>
        <w:ind w:firstLine="420"/>
        <w:rPr>
          <w:rFonts w:ascii="黑体" w:hAnsi="黑体" w:eastAsia="黑体"/>
        </w:rPr>
      </w:pPr>
      <w:r>
        <w:rPr>
          <w:rFonts w:hint="eastAsia" w:ascii="黑体" w:hAnsi="黑体" w:eastAsia="黑体"/>
        </w:rPr>
        <w:t xml:space="preserve">扣车 </w:t>
      </w:r>
      <w:r>
        <w:rPr>
          <w:rFonts w:ascii="黑体" w:hAnsi="黑体" w:eastAsia="黑体"/>
        </w:rPr>
        <w:t xml:space="preserve"> train detaining</w:t>
      </w:r>
    </w:p>
    <w:p>
      <w:pPr>
        <w:pStyle w:val="58"/>
        <w:ind w:firstLine="420"/>
      </w:pPr>
      <w:r>
        <w:rPr>
          <w:rFonts w:hint="eastAsia"/>
        </w:rPr>
        <w:t>根据运营</w:t>
      </w:r>
      <w:r>
        <w:t>需要，采用</w:t>
      </w:r>
      <w:r>
        <w:rPr>
          <w:rFonts w:hint="eastAsia"/>
        </w:rPr>
        <w:t>人为</w:t>
      </w:r>
      <w:r>
        <w:t>手段把列车</w:t>
      </w:r>
      <w:r>
        <w:rPr>
          <w:rFonts w:hint="eastAsia"/>
        </w:rPr>
        <w:t>扣停</w:t>
      </w:r>
      <w:r>
        <w:t>的作业</w:t>
      </w:r>
      <w:r>
        <w:rPr>
          <w:rFonts w:hint="eastAsia"/>
        </w:rPr>
        <w:t>。</w:t>
      </w:r>
    </w:p>
    <w:p>
      <w:pPr>
        <w:pStyle w:val="164"/>
        <w:numPr>
          <w:ilvl w:val="2"/>
          <w:numId w:val="2"/>
        </w:numPr>
        <w:tabs>
          <w:tab w:val="left" w:pos="0"/>
        </w:tabs>
      </w:pPr>
    </w:p>
    <w:p>
      <w:pPr>
        <w:pStyle w:val="58"/>
        <w:ind w:firstLine="420"/>
        <w:rPr>
          <w:rFonts w:ascii="黑体" w:hAnsi="黑体" w:eastAsia="黑体"/>
        </w:rPr>
      </w:pPr>
      <w:r>
        <w:rPr>
          <w:rFonts w:hint="eastAsia" w:ascii="黑体" w:hAnsi="黑体" w:eastAsia="黑体"/>
        </w:rPr>
        <w:t xml:space="preserve">站台门  </w:t>
      </w:r>
      <w:r>
        <w:rPr>
          <w:rFonts w:ascii="黑体" w:hAnsi="黑体" w:eastAsia="黑体"/>
        </w:rPr>
        <w:t>platform screen door</w:t>
      </w:r>
    </w:p>
    <w:p>
      <w:pPr>
        <w:pStyle w:val="58"/>
        <w:ind w:firstLine="420"/>
      </w:pPr>
      <w:r>
        <w:rPr>
          <w:rFonts w:hint="eastAsia"/>
        </w:rPr>
        <w:t>安装</w:t>
      </w:r>
      <w:r>
        <w:t>在车站站台，将站台轨行区</w:t>
      </w:r>
      <w:r>
        <w:rPr>
          <w:rFonts w:hint="eastAsia"/>
        </w:rPr>
        <w:t>与</w:t>
      </w:r>
      <w:r>
        <w:t>站台</w:t>
      </w:r>
      <w:r>
        <w:rPr>
          <w:rFonts w:hint="eastAsia"/>
        </w:rPr>
        <w:t>候车区</w:t>
      </w:r>
      <w:r>
        <w:t>隔离开</w:t>
      </w:r>
      <w:r>
        <w:rPr>
          <w:rFonts w:hint="eastAsia"/>
        </w:rPr>
        <w:t>，设有</w:t>
      </w:r>
      <w:r>
        <w:t>与列车门相对应、可多级控制</w:t>
      </w:r>
      <w:r>
        <w:rPr>
          <w:rFonts w:hint="eastAsia"/>
        </w:rPr>
        <w:t>开启</w:t>
      </w:r>
      <w:r>
        <w:t>与关闭</w:t>
      </w:r>
      <w:r>
        <w:rPr>
          <w:rFonts w:hint="eastAsia"/>
        </w:rPr>
        <w:t>的</w:t>
      </w:r>
      <w:r>
        <w:t>连续屏障</w:t>
      </w:r>
      <w:r>
        <w:rPr>
          <w:rFonts w:hint="eastAsia"/>
        </w:rPr>
        <w:t>。</w:t>
      </w:r>
    </w:p>
    <w:p>
      <w:pPr>
        <w:pStyle w:val="164"/>
        <w:numPr>
          <w:ilvl w:val="2"/>
          <w:numId w:val="2"/>
        </w:numPr>
        <w:tabs>
          <w:tab w:val="left" w:pos="0"/>
        </w:tabs>
      </w:pPr>
    </w:p>
    <w:p>
      <w:pPr>
        <w:pStyle w:val="58"/>
        <w:ind w:firstLine="420"/>
        <w:rPr>
          <w:rFonts w:ascii="黑体" w:hAnsi="黑体" w:eastAsia="黑体"/>
        </w:rPr>
      </w:pPr>
      <w:r>
        <w:rPr>
          <w:rFonts w:hint="eastAsia" w:ascii="黑体" w:hAnsi="黑体" w:eastAsia="黑体"/>
        </w:rPr>
        <w:t xml:space="preserve">轨行区  </w:t>
      </w:r>
      <w:r>
        <w:rPr>
          <w:rFonts w:ascii="黑体" w:hAnsi="黑体" w:eastAsia="黑体"/>
        </w:rPr>
        <w:t>track area</w:t>
      </w:r>
    </w:p>
    <w:p>
      <w:pPr>
        <w:pStyle w:val="58"/>
        <w:ind w:firstLine="420"/>
      </w:pPr>
      <w:r>
        <w:rPr>
          <w:rFonts w:hint="eastAsia"/>
        </w:rPr>
        <w:t>轨道附近一定范围内的立体空间，包括轨道梁U型槽</w:t>
      </w:r>
      <w:r>
        <w:t>及梁面</w:t>
      </w:r>
      <w:r>
        <w:rPr>
          <w:rFonts w:hint="eastAsia"/>
        </w:rPr>
        <w:t>空间，轨道上方一定范围内空间。</w:t>
      </w:r>
    </w:p>
    <w:p>
      <w:pPr>
        <w:pStyle w:val="164"/>
        <w:numPr>
          <w:ilvl w:val="2"/>
          <w:numId w:val="2"/>
        </w:numPr>
        <w:tabs>
          <w:tab w:val="left" w:pos="0"/>
        </w:tabs>
      </w:pPr>
    </w:p>
    <w:p>
      <w:pPr>
        <w:pStyle w:val="58"/>
        <w:ind w:firstLine="420"/>
        <w:rPr>
          <w:rFonts w:ascii="黑体" w:hAnsi="黑体" w:eastAsia="黑体"/>
        </w:rPr>
      </w:pPr>
      <w:r>
        <w:rPr>
          <w:rFonts w:hint="eastAsia" w:ascii="黑体" w:hAnsi="黑体" w:eastAsia="黑体"/>
        </w:rPr>
        <w:t xml:space="preserve">信号标志  </w:t>
      </w:r>
      <w:r>
        <w:rPr>
          <w:rFonts w:ascii="黑体" w:hAnsi="黑体" w:eastAsia="黑体"/>
        </w:rPr>
        <w:t>signal sign</w:t>
      </w:r>
    </w:p>
    <w:p>
      <w:pPr>
        <w:pStyle w:val="58"/>
        <w:ind w:firstLine="420"/>
      </w:pPr>
      <w:r>
        <w:t>设在轨旁的标志牌，包括预告标、分界标、警冲标、限速标及停车标、警示标等。</w:t>
      </w:r>
    </w:p>
    <w:p>
      <w:pPr>
        <w:pStyle w:val="106"/>
        <w:spacing w:before="240" w:after="240"/>
        <w:rPr>
          <w:rFonts w:hint="eastAsia"/>
          <w:lang w:val="en-US" w:eastAsia="zh-CN"/>
        </w:rPr>
      </w:pPr>
      <w:bookmarkStart w:id="45" w:name="_Toc88567707"/>
      <w:bookmarkStart w:id="46" w:name="_Toc8584"/>
      <w:bookmarkStart w:id="47" w:name="_Toc6720"/>
      <w:r>
        <w:rPr>
          <w:rFonts w:hint="eastAsia"/>
          <w:lang w:val="en-US" w:eastAsia="zh-CN"/>
        </w:rPr>
        <w:t>基本要求</w:t>
      </w:r>
      <w:bookmarkEnd w:id="45"/>
      <w:bookmarkEnd w:id="46"/>
      <w:bookmarkEnd w:id="47"/>
    </w:p>
    <w:p>
      <w:pPr>
        <w:pStyle w:val="107"/>
        <w:spacing w:before="120" w:after="120"/>
        <w:rPr>
          <w:rFonts w:hint="eastAsia" w:hAnsi="Times New Roman" w:cs="Times New Roman"/>
        </w:rPr>
      </w:pPr>
      <w:bookmarkStart w:id="48" w:name="_Toc22736"/>
      <w:bookmarkStart w:id="49" w:name="_Toc88567708"/>
      <w:bookmarkStart w:id="50" w:name="_Toc30022"/>
      <w:r>
        <w:rPr>
          <w:rFonts w:hint="eastAsia" w:hAnsi="Times New Roman" w:cs="Times New Roman"/>
        </w:rPr>
        <w:t>一般要求</w:t>
      </w:r>
      <w:bookmarkEnd w:id="48"/>
      <w:bookmarkEnd w:id="49"/>
      <w:bookmarkEnd w:id="50"/>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51" w:name="_Toc27973"/>
      <w:r>
        <w:rPr>
          <w:rFonts w:hint="eastAsia" w:ascii="宋体" w:hAnsi="宋体" w:eastAsia="宋体" w:cs="宋体"/>
        </w:rPr>
        <w:t>行车组织工作应坚持安全生产的方针，贯彻高度集中、统一指挥、逐级负责的原则。</w:t>
      </w:r>
      <w:bookmarkEnd w:id="51"/>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52" w:name="_Toc26385"/>
      <w:r>
        <w:rPr>
          <w:rFonts w:hint="eastAsia" w:ascii="宋体" w:hAnsi="宋体" w:eastAsia="宋体" w:cs="宋体"/>
        </w:rPr>
        <w:t>行车组织时间</w:t>
      </w:r>
      <w:r>
        <w:rPr>
          <w:rFonts w:hint="eastAsia" w:ascii="宋体" w:hAnsi="宋体" w:eastAsia="宋体" w:cs="宋体"/>
          <w:lang w:val="en-US" w:eastAsia="zh-CN"/>
        </w:rPr>
        <w:t>应</w:t>
      </w:r>
      <w:r>
        <w:rPr>
          <w:rFonts w:hint="eastAsia" w:ascii="宋体" w:hAnsi="宋体" w:eastAsia="宋体" w:cs="宋体"/>
        </w:rPr>
        <w:t>以北京时间为准，从零时起计算，实行24 h制。</w:t>
      </w:r>
      <w:bookmarkEnd w:id="52"/>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53" w:name="_Toc25094"/>
      <w:r>
        <w:rPr>
          <w:rFonts w:hint="eastAsia" w:ascii="宋体" w:hAnsi="宋体" w:eastAsia="宋体" w:cs="宋体"/>
        </w:rPr>
        <w:t>运营单位应编制列车运行计划，按计划组织行车。与行车由关的各部门应根据列车运行计划的要求，开展本部门的工作，确保运行计划的实施。</w:t>
      </w:r>
      <w:bookmarkEnd w:id="53"/>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54" w:name="_Toc20235"/>
      <w:r>
        <w:rPr>
          <w:rFonts w:hint="eastAsia" w:ascii="宋体" w:hAnsi="宋体" w:eastAsia="宋体" w:cs="宋体"/>
        </w:rPr>
        <w:t>正常情况下应按双线单方向组织列车运行，实行右侧行车制。</w:t>
      </w:r>
      <w:bookmarkEnd w:id="54"/>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55" w:name="_Toc27004"/>
      <w:r>
        <w:rPr>
          <w:rFonts w:hint="eastAsia" w:ascii="宋体" w:hAnsi="宋体" w:eastAsia="宋体" w:cs="宋体"/>
        </w:rPr>
        <w:t>正线、配线及综合车场行车由行车调度员指挥，列车应遵照列车运行计划，按调度命令和信号显示行车。</w:t>
      </w:r>
      <w:bookmarkEnd w:id="55"/>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56" w:name="_Toc17431"/>
      <w:r>
        <w:rPr>
          <w:rFonts w:hint="eastAsia" w:ascii="宋体" w:hAnsi="宋体" w:eastAsia="宋体" w:cs="宋体"/>
        </w:rPr>
        <w:t>运营单位应建立行车指标统计分析制度，对行车计划持续改进和优化。</w:t>
      </w:r>
      <w:bookmarkEnd w:id="56"/>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57" w:name="_Toc2863"/>
      <w:r>
        <w:rPr>
          <w:rFonts w:hint="eastAsia" w:ascii="宋体" w:hAnsi="宋体" w:eastAsia="宋体" w:cs="宋体"/>
          <w:lang w:eastAsia="zh-CN"/>
        </w:rPr>
        <w:t>系统</w:t>
      </w:r>
      <w:r>
        <w:rPr>
          <w:rFonts w:hint="eastAsia" w:ascii="宋体" w:hAnsi="宋体" w:eastAsia="宋体" w:cs="宋体"/>
        </w:rPr>
        <w:t>应采用现代先进技术手段实现列车运行的安全防护。</w:t>
      </w:r>
      <w:bookmarkEnd w:id="57"/>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58" w:name="_Toc29473"/>
      <w:r>
        <w:rPr>
          <w:rFonts w:hint="eastAsia" w:ascii="宋体" w:hAnsi="宋体" w:eastAsia="宋体" w:cs="宋体"/>
        </w:rPr>
        <w:t>运营单位应结合运营管理实际需要，细化行车组织规定，持续提升行车组织</w:t>
      </w:r>
      <w:r>
        <w:rPr>
          <w:rFonts w:hint="eastAsia" w:ascii="宋体" w:hAnsi="宋体" w:eastAsia="宋体" w:cs="宋体"/>
          <w:lang w:eastAsia="zh-CN"/>
        </w:rPr>
        <w:t>效率</w:t>
      </w:r>
      <w:r>
        <w:rPr>
          <w:rFonts w:hint="eastAsia" w:ascii="宋体" w:hAnsi="宋体" w:eastAsia="宋体" w:cs="宋体"/>
        </w:rPr>
        <w:t>，提高运营服务</w:t>
      </w:r>
      <w:r>
        <w:rPr>
          <w:rFonts w:hint="eastAsia" w:ascii="宋体" w:hAnsi="宋体" w:eastAsia="宋体" w:cs="宋体"/>
          <w:lang w:eastAsia="zh-CN"/>
        </w:rPr>
        <w:t>水平</w:t>
      </w:r>
      <w:r>
        <w:rPr>
          <w:rFonts w:hint="eastAsia" w:ascii="宋体" w:hAnsi="宋体" w:eastAsia="宋体" w:cs="宋体"/>
        </w:rPr>
        <w:t>。</w:t>
      </w:r>
      <w:bookmarkEnd w:id="58"/>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59" w:name="_Toc32208"/>
      <w:r>
        <w:rPr>
          <w:rFonts w:hint="eastAsia" w:ascii="宋体" w:hAnsi="宋体" w:eastAsia="宋体" w:cs="宋体"/>
        </w:rPr>
        <w:t>运营单位应制定正常、非正常情况下行车作业标准和岗位作业标准，行车人员应执行岗位工作标准。</w:t>
      </w:r>
      <w:bookmarkEnd w:id="59"/>
      <w:bookmarkStart w:id="60" w:name="_Toc22588"/>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r>
        <w:rPr>
          <w:rFonts w:hint="eastAsia" w:ascii="宋体" w:hAnsi="宋体" w:eastAsia="宋体" w:cs="宋体"/>
        </w:rPr>
        <w:t>行车岗位人员的技能素质应满足T/URTA 0005的要求，并持证上岗，按规定着装，正确佩戴岗位标志。</w:t>
      </w:r>
      <w:bookmarkEnd w:id="60"/>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r>
        <w:rPr>
          <w:rFonts w:hint="eastAsia" w:ascii="宋体" w:hAnsi="宋体" w:eastAsia="宋体" w:cs="宋体"/>
        </w:rPr>
        <w:t>运营单位应组织司乘人员开展实操培训练习，提升业务技能。</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61" w:name="_Toc26531"/>
      <w:r>
        <w:rPr>
          <w:rFonts w:hint="eastAsia" w:ascii="宋体" w:hAnsi="宋体" w:eastAsia="宋体" w:cs="宋体"/>
        </w:rPr>
        <w:t>运营单位应做好行车组织与客运组织的有效衔接。</w:t>
      </w:r>
      <w:bookmarkEnd w:id="61"/>
    </w:p>
    <w:p>
      <w:pPr>
        <w:pStyle w:val="107"/>
        <w:spacing w:before="120" w:after="120"/>
        <w:rPr>
          <w:rFonts w:hint="eastAsia" w:hAnsi="Times New Roman" w:cs="Times New Roman"/>
        </w:rPr>
      </w:pPr>
      <w:bookmarkStart w:id="62" w:name="_Toc22824"/>
      <w:bookmarkStart w:id="63" w:name="_Toc88567709"/>
      <w:bookmarkStart w:id="64" w:name="_Toc4578"/>
      <w:r>
        <w:rPr>
          <w:rFonts w:hint="eastAsia" w:hAnsi="Times New Roman" w:cs="Times New Roman"/>
        </w:rPr>
        <w:t>列车运行计划</w:t>
      </w:r>
      <w:bookmarkEnd w:id="62"/>
      <w:bookmarkEnd w:id="63"/>
      <w:bookmarkEnd w:id="64"/>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65" w:name="_Toc1897"/>
      <w:r>
        <w:rPr>
          <w:rFonts w:hint="eastAsia" w:ascii="宋体" w:hAnsi="宋体" w:eastAsia="宋体" w:cs="宋体"/>
        </w:rPr>
        <w:t>运营单位应根据线路设计运能、实际客流情况及设备技术条件等因素编制列车运行计划。正常运营时，最小行车间隔不宜大于5 min。</w:t>
      </w:r>
      <w:bookmarkEnd w:id="65"/>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66" w:name="_Toc11779"/>
      <w:r>
        <w:rPr>
          <w:rFonts w:hint="eastAsia" w:ascii="宋体" w:hAnsi="宋体" w:eastAsia="宋体" w:cs="宋体"/>
        </w:rPr>
        <w:t>运营单位应根据线路沿线乘客出行规律及变化，结合设备技术条件设置运营交路，优化调整列车运行计划，运能安排宜适当预留冗余。</w:t>
      </w:r>
      <w:bookmarkEnd w:id="66"/>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67" w:name="_Toc6351"/>
      <w:r>
        <w:rPr>
          <w:rFonts w:hint="eastAsia" w:ascii="宋体" w:hAnsi="宋体" w:eastAsia="宋体" w:cs="宋体"/>
        </w:rPr>
        <w:t>运营单位应根据客流需求及规律、设备技术条件等因素编制列车运行图，确定运营时间及行车间隔、停站时间、行车交路等。</w:t>
      </w:r>
      <w:bookmarkEnd w:id="67"/>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68" w:name="_Toc9361"/>
      <w:r>
        <w:rPr>
          <w:rFonts w:hint="eastAsia" w:ascii="宋体" w:hAnsi="宋体" w:eastAsia="宋体" w:cs="宋体"/>
        </w:rPr>
        <w:t>运营单位应将列车运行图作为行车组织工作的基础，组织各部门严格根据列车运行图的要求开展运营生产工作，保证按图行车。</w:t>
      </w:r>
      <w:bookmarkEnd w:id="68"/>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69" w:name="_Toc9485"/>
      <w:r>
        <w:rPr>
          <w:rFonts w:hint="eastAsia" w:ascii="宋体" w:hAnsi="宋体" w:eastAsia="宋体" w:cs="宋体"/>
        </w:rPr>
        <w:t>列车运行图应保持相对稳定，需要调整列车运行图时应充分考虑运用车数量、线路条件及设备设施维修时间、人员配备需要等情况</w:t>
      </w:r>
      <w:bookmarkEnd w:id="69"/>
      <w:r>
        <w:rPr>
          <w:rFonts w:hint="eastAsia" w:ascii="宋体" w:hAnsi="宋体" w:eastAsia="宋体" w:cs="宋体"/>
          <w:lang w:eastAsia="zh-CN"/>
        </w:rPr>
        <w:t>。</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70" w:name="_Toc24513"/>
      <w:r>
        <w:rPr>
          <w:rFonts w:hint="eastAsia" w:ascii="宋体" w:hAnsi="宋体" w:eastAsia="宋体" w:cs="宋体"/>
        </w:rPr>
        <w:t>列车运行图</w:t>
      </w:r>
      <w:r>
        <w:rPr>
          <w:rFonts w:hint="eastAsia" w:ascii="宋体" w:hAnsi="宋体" w:eastAsia="宋体" w:cs="宋体"/>
          <w:lang w:eastAsia="zh-CN"/>
        </w:rPr>
        <w:t>应</w:t>
      </w:r>
      <w:r>
        <w:rPr>
          <w:rFonts w:hint="eastAsia" w:ascii="宋体" w:hAnsi="宋体" w:eastAsia="宋体" w:cs="宋体"/>
        </w:rPr>
        <w:t>至少保存2年。</w:t>
      </w:r>
      <w:bookmarkEnd w:id="70"/>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71" w:name="_Toc17633"/>
      <w:r>
        <w:rPr>
          <w:rFonts w:hint="eastAsia" w:ascii="宋体" w:hAnsi="宋体" w:eastAsia="宋体" w:cs="宋体"/>
        </w:rPr>
        <w:t>运营单位应结合列车运行计划，</w:t>
      </w:r>
      <w:r>
        <w:rPr>
          <w:rFonts w:hint="eastAsia" w:ascii="宋体" w:hAnsi="宋体" w:eastAsia="宋体" w:cs="宋体"/>
          <w:lang w:eastAsia="zh-CN"/>
        </w:rPr>
        <w:t>合理安排轮充时间，确保高峰用车需求，减少配属车辆数量</w:t>
      </w:r>
      <w:r>
        <w:rPr>
          <w:rFonts w:hint="eastAsia" w:ascii="宋体" w:hAnsi="宋体" w:eastAsia="宋体" w:cs="宋体"/>
        </w:rPr>
        <w:t>。</w:t>
      </w:r>
      <w:bookmarkEnd w:id="71"/>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72" w:name="_Toc14523"/>
      <w:r>
        <w:rPr>
          <w:rFonts w:hint="eastAsia" w:ascii="宋体" w:hAnsi="宋体" w:eastAsia="宋体" w:cs="宋体"/>
        </w:rPr>
        <w:t>运营单位应综合考虑线路的功能定位、客流需求、换乘方式等因素，结合居民的出行规律，合理设置线路全天服务时间和首末班车时间，并符合下列规定：</w:t>
      </w:r>
      <w:bookmarkEnd w:id="72"/>
    </w:p>
    <w:p>
      <w:pPr>
        <w:pStyle w:val="176"/>
        <w:numPr>
          <w:ilvl w:val="0"/>
          <w:numId w:val="35"/>
        </w:numPr>
        <w:ind w:left="777" w:leftChars="200" w:hanging="357" w:hangingChars="170"/>
      </w:pPr>
      <w:r>
        <w:rPr>
          <w:rFonts w:hint="eastAsia"/>
        </w:rPr>
        <w:t>正式</w:t>
      </w:r>
      <w:r>
        <w:t>运营线路每天的运营服务时间应符合</w:t>
      </w:r>
      <w:r>
        <w:rPr>
          <w:rFonts w:hint="eastAsia"/>
        </w:rPr>
        <w:t>GB</w:t>
      </w:r>
      <w:r>
        <w:t>/</w:t>
      </w:r>
      <w:r>
        <w:rPr>
          <w:rFonts w:hint="eastAsia"/>
        </w:rPr>
        <w:t>T</w:t>
      </w:r>
      <w:r>
        <w:t xml:space="preserve"> 30012</w:t>
      </w:r>
      <w:r>
        <w:rPr>
          <w:rFonts w:hint="eastAsia"/>
        </w:rPr>
        <w:t>的有关规定</w:t>
      </w:r>
      <w:r>
        <w:t>，</w:t>
      </w:r>
      <w:r>
        <w:rPr>
          <w:rFonts w:hint="eastAsia"/>
        </w:rPr>
        <w:t>且</w:t>
      </w:r>
      <w:r>
        <w:t>不应少于</w:t>
      </w:r>
      <w:r>
        <w:rPr>
          <w:rFonts w:hint="eastAsia"/>
        </w:rPr>
        <w:t>15</w:t>
      </w:r>
      <w:r>
        <w:t xml:space="preserve"> </w:t>
      </w:r>
      <w:r>
        <w:rPr>
          <w:rFonts w:hint="eastAsia"/>
        </w:rPr>
        <w:t>h；</w:t>
      </w:r>
    </w:p>
    <w:p>
      <w:pPr>
        <w:pStyle w:val="176"/>
        <w:numPr>
          <w:ilvl w:val="0"/>
          <w:numId w:val="35"/>
        </w:numPr>
        <w:ind w:left="777" w:leftChars="200" w:hanging="357" w:hangingChars="170"/>
      </w:pPr>
      <w:r>
        <w:rPr>
          <w:rFonts w:hint="eastAsia"/>
        </w:rPr>
        <w:t>首末</w:t>
      </w:r>
      <w:r>
        <w:t>班车应考虑</w:t>
      </w:r>
      <w:r>
        <w:rPr>
          <w:rFonts w:hint="eastAsia"/>
        </w:rPr>
        <w:t>线路</w:t>
      </w:r>
      <w:r>
        <w:t>间的换乘</w:t>
      </w:r>
      <w:r>
        <w:rPr>
          <w:rFonts w:hint="eastAsia"/>
        </w:rPr>
        <w:t>衔接</w:t>
      </w:r>
      <w:r>
        <w:t>。</w:t>
      </w:r>
    </w:p>
    <w:p>
      <w:pPr>
        <w:pStyle w:val="107"/>
        <w:spacing w:before="120" w:after="120"/>
        <w:rPr>
          <w:rFonts w:hint="eastAsia" w:hAnsi="Times New Roman" w:cs="Times New Roman"/>
        </w:rPr>
      </w:pPr>
      <w:bookmarkStart w:id="73" w:name="_Toc8859"/>
      <w:bookmarkStart w:id="74" w:name="_Toc88567710"/>
      <w:bookmarkStart w:id="75" w:name="_Toc2729"/>
      <w:r>
        <w:rPr>
          <w:rFonts w:hint="eastAsia" w:hAnsi="Times New Roman" w:cs="Times New Roman"/>
        </w:rPr>
        <w:t>调度指挥机构</w:t>
      </w:r>
      <w:bookmarkEnd w:id="73"/>
      <w:bookmarkEnd w:id="74"/>
      <w:bookmarkEnd w:id="75"/>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76" w:name="_Toc1756"/>
      <w:r>
        <w:rPr>
          <w:rFonts w:hint="eastAsia" w:ascii="宋体" w:hAnsi="宋体" w:eastAsia="宋体" w:cs="宋体"/>
        </w:rPr>
        <w:t>运营单位根据运营线路规模，可设置一个或多个运营控制中心（OCC），</w:t>
      </w:r>
      <w:r>
        <w:rPr>
          <w:rFonts w:hint="eastAsia" w:ascii="宋体" w:hAnsi="宋体" w:eastAsia="宋体" w:cs="宋体"/>
          <w:lang w:eastAsia="zh-CN"/>
        </w:rPr>
        <w:t>并</w:t>
      </w:r>
      <w:r>
        <w:rPr>
          <w:rFonts w:hint="eastAsia" w:ascii="宋体" w:hAnsi="宋体" w:eastAsia="宋体" w:cs="宋体"/>
        </w:rPr>
        <w:t>结合运营业务需要，合理设置OCC岗位，明确各岗位</w:t>
      </w:r>
      <w:r>
        <w:rPr>
          <w:rFonts w:hint="eastAsia" w:ascii="宋体" w:hAnsi="宋体" w:eastAsia="宋体" w:cs="宋体"/>
          <w:lang w:eastAsia="zh-CN"/>
        </w:rPr>
        <w:t>的</w:t>
      </w:r>
      <w:r>
        <w:rPr>
          <w:rFonts w:hint="eastAsia" w:ascii="宋体" w:hAnsi="宋体" w:eastAsia="宋体" w:cs="宋体"/>
        </w:rPr>
        <w:t>工作职责和技能要求。</w:t>
      </w:r>
      <w:bookmarkEnd w:id="76"/>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77" w:name="_Toc3324"/>
      <w:r>
        <w:rPr>
          <w:rFonts w:hint="eastAsia" w:ascii="宋体" w:hAnsi="宋体" w:eastAsia="宋体" w:cs="宋体"/>
        </w:rPr>
        <w:t>运营控制中心宜设置值班主任、行车调度员、设备调度员、乘客调度员等调度岗位。</w:t>
      </w:r>
      <w:bookmarkEnd w:id="77"/>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78" w:name="_Toc22620"/>
      <w:r>
        <w:rPr>
          <w:rFonts w:hint="eastAsia" w:ascii="宋体" w:hAnsi="宋体" w:eastAsia="宋体" w:cs="宋体"/>
        </w:rPr>
        <w:t>运营控制中心应按列车运行</w:t>
      </w:r>
      <w:r>
        <w:rPr>
          <w:rFonts w:hint="eastAsia" w:ascii="宋体" w:hAnsi="宋体" w:eastAsia="宋体" w:cs="宋体"/>
          <w:lang w:eastAsia="zh-CN"/>
        </w:rPr>
        <w:t>图</w:t>
      </w:r>
      <w:r>
        <w:rPr>
          <w:rFonts w:hint="eastAsia" w:ascii="宋体" w:hAnsi="宋体" w:eastAsia="宋体" w:cs="宋体"/>
        </w:rPr>
        <w:t>组织行车，监控列车进站、发车、区间运行、电量等情况。</w:t>
      </w:r>
      <w:bookmarkEnd w:id="78"/>
    </w:p>
    <w:p>
      <w:pPr>
        <w:pStyle w:val="107"/>
        <w:spacing w:before="120" w:after="120"/>
        <w:rPr>
          <w:rFonts w:hint="eastAsia" w:hAnsi="Times New Roman" w:cs="Times New Roman"/>
        </w:rPr>
      </w:pPr>
      <w:bookmarkStart w:id="79" w:name="_Toc88567711"/>
      <w:bookmarkStart w:id="80" w:name="_Toc11799"/>
      <w:bookmarkStart w:id="81" w:name="_Toc13101"/>
      <w:r>
        <w:rPr>
          <w:rFonts w:hint="eastAsia" w:hAnsi="Times New Roman" w:cs="Times New Roman"/>
        </w:rPr>
        <w:t>调度命令</w:t>
      </w:r>
      <w:bookmarkEnd w:id="79"/>
      <w:bookmarkEnd w:id="80"/>
      <w:bookmarkEnd w:id="81"/>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82" w:name="_Toc10585"/>
      <w:r>
        <w:rPr>
          <w:rFonts w:hint="eastAsia" w:ascii="宋体" w:hAnsi="宋体" w:eastAsia="宋体" w:cs="宋体"/>
        </w:rPr>
        <w:t>行车调度命令分为书面命令和口头命令，由OCC调度员发布。命令发布应符合下列规定：</w:t>
      </w:r>
      <w:bookmarkEnd w:id="82"/>
    </w:p>
    <w:p>
      <w:pPr>
        <w:pStyle w:val="176"/>
        <w:numPr>
          <w:ilvl w:val="0"/>
          <w:numId w:val="36"/>
        </w:numPr>
        <w:ind w:left="777" w:leftChars="200" w:hanging="357" w:hangingChars="170"/>
      </w:pPr>
      <w:r>
        <w:rPr>
          <w:rFonts w:hint="eastAsia"/>
        </w:rPr>
        <w:t>口头</w:t>
      </w:r>
      <w:r>
        <w:t>命令采用应答复诵制，有</w:t>
      </w:r>
      <w:r>
        <w:rPr>
          <w:rFonts w:hint="eastAsia"/>
        </w:rPr>
        <w:t>录音</w:t>
      </w:r>
      <w:r>
        <w:t>设备记录命令内容。同时</w:t>
      </w:r>
      <w:r>
        <w:rPr>
          <w:rFonts w:hint="eastAsia"/>
        </w:rPr>
        <w:t>向</w:t>
      </w:r>
      <w:r>
        <w:t>多个受令人发布</w:t>
      </w:r>
      <w:r>
        <w:rPr>
          <w:rFonts w:hint="eastAsia"/>
        </w:rPr>
        <w:t>口头</w:t>
      </w:r>
      <w:r>
        <w:t>命令</w:t>
      </w:r>
      <w:r>
        <w:rPr>
          <w:rFonts w:hint="eastAsia"/>
        </w:rPr>
        <w:t>时</w:t>
      </w:r>
      <w:r>
        <w:t>，</w:t>
      </w:r>
      <w:r>
        <w:rPr>
          <w:rFonts w:hint="eastAsia"/>
        </w:rPr>
        <w:t>发令</w:t>
      </w:r>
      <w:r>
        <w:t>人</w:t>
      </w:r>
      <w:r>
        <w:rPr>
          <w:rFonts w:hint="eastAsia"/>
        </w:rPr>
        <w:t>指定某</w:t>
      </w:r>
      <w:r>
        <w:t>一受令人复诵，其他</w:t>
      </w:r>
      <w:r>
        <w:rPr>
          <w:rFonts w:hint="eastAsia"/>
        </w:rPr>
        <w:t>受令</w:t>
      </w:r>
      <w:r>
        <w:t>人核对命令内容；</w:t>
      </w:r>
    </w:p>
    <w:p>
      <w:pPr>
        <w:pStyle w:val="176"/>
        <w:numPr>
          <w:ilvl w:val="0"/>
          <w:numId w:val="36"/>
        </w:numPr>
        <w:ind w:left="777" w:leftChars="200" w:hanging="357" w:hangingChars="170"/>
      </w:pPr>
      <w:r>
        <w:rPr>
          <w:rFonts w:hint="eastAsia"/>
        </w:rPr>
        <w:t>书面</w:t>
      </w:r>
      <w:r>
        <w:t>命令采用书面记录制。特殊</w:t>
      </w:r>
      <w:r>
        <w:rPr>
          <w:rFonts w:hint="eastAsia"/>
        </w:rPr>
        <w:t>情况</w:t>
      </w:r>
      <w:r>
        <w:t>下</w:t>
      </w:r>
      <w:r>
        <w:rPr>
          <w:rFonts w:hint="eastAsia"/>
        </w:rPr>
        <w:t>可</w:t>
      </w:r>
      <w:r>
        <w:t>先发</w:t>
      </w:r>
      <w:r>
        <w:rPr>
          <w:rFonts w:hint="eastAsia"/>
        </w:rPr>
        <w:t>口头</w:t>
      </w:r>
      <w:r>
        <w:t>命令，事后补交书面命令</w:t>
      </w:r>
      <w:r>
        <w:rPr>
          <w:rFonts w:hint="eastAsia"/>
        </w:rPr>
        <w:t>。</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83" w:name="_Toc15019"/>
      <w:r>
        <w:rPr>
          <w:rFonts w:hint="eastAsia" w:ascii="宋体" w:hAnsi="宋体" w:eastAsia="宋体" w:cs="宋体"/>
        </w:rPr>
        <w:t>调度命令应使用标准用语，按照“一事一令”的要求执行。</w:t>
      </w:r>
      <w:bookmarkEnd w:id="83"/>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84" w:name="_Toc21539"/>
      <w:r>
        <w:rPr>
          <w:rFonts w:hint="eastAsia" w:ascii="宋体" w:hAnsi="宋体" w:eastAsia="宋体" w:cs="宋体"/>
        </w:rPr>
        <w:t>调度命令内容应简明扼要，包括命令时间、命令号码、受令处所、命令内容、以及受令人、复诵人和发令人等信息。</w:t>
      </w:r>
      <w:bookmarkEnd w:id="84"/>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85" w:name="_Toc25757"/>
      <w:r>
        <w:rPr>
          <w:rFonts w:hint="eastAsia" w:ascii="宋体" w:hAnsi="宋体" w:eastAsia="宋体" w:cs="宋体"/>
        </w:rPr>
        <w:t>调度命令应在执行前直接发布给命令执行人。对于不能直接发布给执行人的调度命令，发令人应指定专人传达。</w:t>
      </w:r>
      <w:bookmarkEnd w:id="85"/>
    </w:p>
    <w:p>
      <w:pPr>
        <w:pStyle w:val="107"/>
        <w:spacing w:before="120" w:after="120"/>
        <w:rPr>
          <w:rFonts w:hint="eastAsia" w:hAnsi="Times New Roman" w:cs="Times New Roman"/>
        </w:rPr>
      </w:pPr>
      <w:bookmarkStart w:id="86" w:name="_Toc3322"/>
      <w:bookmarkStart w:id="87" w:name="_Toc15965"/>
      <w:bookmarkStart w:id="88" w:name="_Toc88567712"/>
      <w:r>
        <w:rPr>
          <w:rFonts w:hint="eastAsia" w:hAnsi="Times New Roman" w:cs="Times New Roman"/>
        </w:rPr>
        <w:t>行车组织方法</w:t>
      </w:r>
      <w:bookmarkEnd w:id="86"/>
      <w:bookmarkEnd w:id="87"/>
      <w:bookmarkEnd w:id="88"/>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89" w:name="_Toc30000"/>
      <w:r>
        <w:rPr>
          <w:rFonts w:hint="eastAsia" w:ascii="宋体" w:hAnsi="宋体" w:eastAsia="宋体" w:cs="宋体"/>
        </w:rPr>
        <w:t>行车组织方法包含移动闭塞法和进路闭塞法。进路闭塞法是移动闭塞设备法不能使用时的代用闭塞法。</w:t>
      </w:r>
      <w:bookmarkEnd w:id="89"/>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90" w:name="_Toc3228"/>
      <w:r>
        <w:rPr>
          <w:rFonts w:hint="eastAsia" w:ascii="宋体" w:hAnsi="宋体" w:eastAsia="宋体" w:cs="宋体"/>
        </w:rPr>
        <w:t>组织行车时，应符合下列规定：</w:t>
      </w:r>
      <w:bookmarkEnd w:id="90"/>
    </w:p>
    <w:p>
      <w:pPr>
        <w:pStyle w:val="176"/>
        <w:numPr>
          <w:ilvl w:val="0"/>
          <w:numId w:val="37"/>
        </w:numPr>
        <w:ind w:left="777" w:leftChars="200" w:hanging="357" w:hangingChars="170"/>
      </w:pPr>
      <w:r>
        <w:rPr>
          <w:rFonts w:hint="eastAsia"/>
        </w:rPr>
        <w:t>当</w:t>
      </w:r>
      <w:r>
        <w:t>车</w:t>
      </w:r>
      <w:r>
        <w:rPr>
          <w:rFonts w:hint="eastAsia"/>
        </w:rPr>
        <w:t>载</w:t>
      </w:r>
      <w:r>
        <w:t>信号设备运行正常</w:t>
      </w:r>
      <w:r>
        <w:rPr>
          <w:rFonts w:hint="eastAsia"/>
        </w:rPr>
        <w:t>时</w:t>
      </w:r>
      <w:r>
        <w:t>，</w:t>
      </w:r>
      <w:r>
        <w:rPr>
          <w:rFonts w:hint="eastAsia"/>
        </w:rPr>
        <w:t>采用移动</w:t>
      </w:r>
      <w:r>
        <w:t>闭塞法行车，列车凭车载信号</w:t>
      </w:r>
      <w:r>
        <w:rPr>
          <w:rFonts w:hint="eastAsia"/>
        </w:rPr>
        <w:t>运行；</w:t>
      </w:r>
    </w:p>
    <w:p>
      <w:pPr>
        <w:pStyle w:val="176"/>
        <w:numPr>
          <w:ilvl w:val="0"/>
          <w:numId w:val="37"/>
        </w:numPr>
        <w:ind w:left="777" w:leftChars="200" w:hanging="357" w:hangingChars="170"/>
      </w:pPr>
      <w:r>
        <w:rPr>
          <w:rFonts w:hint="eastAsia"/>
        </w:rPr>
        <w:t>当</w:t>
      </w:r>
      <w:r>
        <w:t>车载信号设备运行故障时，</w:t>
      </w:r>
      <w:r>
        <w:rPr>
          <w:rFonts w:hint="eastAsia"/>
        </w:rPr>
        <w:t>采用</w:t>
      </w:r>
      <w:r>
        <w:t>进路闭塞法行车，</w:t>
      </w:r>
      <w:r>
        <w:rPr>
          <w:rFonts w:hint="eastAsia"/>
        </w:rPr>
        <w:t>列</w:t>
      </w:r>
      <w:r>
        <w:t>车凭地面信号显示或行车调度员命令运行</w:t>
      </w:r>
      <w:r>
        <w:rPr>
          <w:rFonts w:hint="eastAsia"/>
        </w:rPr>
        <w:t>。</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91" w:name="_Toc14949"/>
      <w:r>
        <w:rPr>
          <w:rFonts w:hint="eastAsia" w:ascii="宋体" w:hAnsi="宋体" w:eastAsia="宋体" w:cs="宋体"/>
        </w:rPr>
        <w:t>进路闭塞法行车时，列车运行应以闭塞</w:t>
      </w:r>
      <w:r>
        <w:rPr>
          <w:rFonts w:hint="eastAsia" w:ascii="宋体" w:hAnsi="宋体" w:eastAsia="宋体" w:cs="宋体"/>
          <w:lang w:eastAsia="zh-CN"/>
        </w:rPr>
        <w:t>区域</w:t>
      </w:r>
      <w:r>
        <w:rPr>
          <w:rFonts w:hint="eastAsia" w:ascii="宋体" w:hAnsi="宋体" w:eastAsia="宋体" w:cs="宋体"/>
        </w:rPr>
        <w:t>作为间隔，除开行救援列车外，一个闭塞区域内只允许一列车运行。</w:t>
      </w:r>
      <w:bookmarkEnd w:id="91"/>
    </w:p>
    <w:p>
      <w:pPr>
        <w:pStyle w:val="107"/>
        <w:spacing w:before="120" w:after="120"/>
        <w:rPr>
          <w:rFonts w:hint="eastAsia" w:hAnsi="Times New Roman" w:cs="Times New Roman"/>
        </w:rPr>
      </w:pPr>
      <w:bookmarkStart w:id="92" w:name="_Toc26702"/>
      <w:bookmarkStart w:id="93" w:name="_Toc29259"/>
      <w:bookmarkStart w:id="94" w:name="_Toc88567713"/>
      <w:r>
        <w:rPr>
          <w:rFonts w:hint="eastAsia" w:hAnsi="Times New Roman" w:cs="Times New Roman"/>
        </w:rPr>
        <w:t>列车运行</w:t>
      </w:r>
      <w:bookmarkEnd w:id="92"/>
      <w:bookmarkEnd w:id="93"/>
      <w:bookmarkEnd w:id="94"/>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95" w:name="_Toc15988"/>
      <w:r>
        <w:rPr>
          <w:rFonts w:hint="eastAsia" w:ascii="宋体" w:hAnsi="宋体" w:eastAsia="宋体" w:cs="宋体"/>
        </w:rPr>
        <w:t>列车运行方向的设置应符合GB 50157的有关规定，列车运行方向应与定义的线路方向保持一致。</w:t>
      </w:r>
      <w:bookmarkEnd w:id="95"/>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96" w:name="_Toc19283"/>
      <w:r>
        <w:rPr>
          <w:rFonts w:hint="eastAsia" w:ascii="宋体" w:hAnsi="宋体" w:eastAsia="宋体" w:cs="宋体"/>
        </w:rPr>
        <w:t>运营单位应按照列车性质建立车次命名规则，车次命名宜由线路号、列车性质编号、方向号、顺序号等组成。</w:t>
      </w:r>
      <w:bookmarkEnd w:id="96"/>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97" w:name="_Toc10734"/>
      <w:r>
        <w:rPr>
          <w:rFonts w:hint="eastAsia" w:ascii="宋体" w:hAnsi="宋体" w:eastAsia="宋体" w:cs="宋体"/>
        </w:rPr>
        <w:t>列车运行可采用非限制人工驾驶模式、限制人工驾驶模式、列车自动防</w:t>
      </w:r>
      <w:r>
        <w:rPr>
          <w:rFonts w:hint="eastAsia" w:ascii="宋体" w:hAnsi="宋体" w:eastAsia="宋体" w:cs="宋体"/>
          <w:lang w:eastAsia="zh-CN"/>
        </w:rPr>
        <w:t>护</w:t>
      </w:r>
      <w:r>
        <w:rPr>
          <w:rFonts w:hint="eastAsia" w:ascii="宋体" w:hAnsi="宋体" w:eastAsia="宋体" w:cs="宋体"/>
        </w:rPr>
        <w:t>（ATP）下的人工驾驶模式、列车全自动运行模式。正常情况下，列车在正线运营和折返时</w:t>
      </w:r>
      <w:r>
        <w:rPr>
          <w:rFonts w:hint="eastAsia" w:ascii="宋体" w:hAnsi="宋体" w:eastAsia="宋体" w:cs="宋体"/>
          <w:lang w:eastAsia="zh-CN"/>
        </w:rPr>
        <w:t>宜</w:t>
      </w:r>
      <w:r>
        <w:rPr>
          <w:rFonts w:hint="eastAsia" w:ascii="宋体" w:hAnsi="宋体" w:eastAsia="宋体" w:cs="宋体"/>
        </w:rPr>
        <w:t>采用列车全自动运行模式。</w:t>
      </w:r>
      <w:bookmarkEnd w:id="97"/>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r>
        <w:rPr>
          <w:rFonts w:hint="eastAsia" w:ascii="宋体" w:hAnsi="宋体" w:eastAsia="宋体" w:cs="宋体"/>
        </w:rPr>
        <w:t>正常运行状态下，列车在站台对标及车门的开关应通过设备技术手段确认；应按列车运行图的要求</w:t>
      </w:r>
      <w:r>
        <w:rPr>
          <w:rFonts w:hint="eastAsia" w:ascii="宋体" w:hAnsi="宋体" w:eastAsia="宋体" w:cs="宋体"/>
          <w:lang w:eastAsia="zh-CN"/>
        </w:rPr>
        <w:t>确定</w:t>
      </w:r>
      <w:r>
        <w:rPr>
          <w:rFonts w:hint="eastAsia" w:ascii="宋体" w:hAnsi="宋体" w:eastAsia="宋体" w:cs="宋体"/>
        </w:rPr>
        <w:t>停站时间。</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r>
        <w:rPr>
          <w:rFonts w:hint="eastAsia" w:ascii="宋体" w:hAnsi="宋体" w:eastAsia="宋体" w:cs="宋体"/>
        </w:rPr>
        <w:t>运营单位应考虑车辆及信号自动控制超调、车辆及信号系统测速误差、控制延时、线路坡度等因素引起的实际速度相对于超速防护触发速度的向上偏移，以及正常情况下ATO速度控制时，不应实施车辆超速防护（紧急制动），列车运行速度应符合下列规定：</w:t>
      </w:r>
    </w:p>
    <w:p>
      <w:pPr>
        <w:pStyle w:val="176"/>
        <w:keepNext w:val="0"/>
        <w:keepLines w:val="0"/>
        <w:pageBreakBefore w:val="0"/>
        <w:widowControl/>
        <w:numPr>
          <w:ilvl w:val="0"/>
          <w:numId w:val="38"/>
        </w:numPr>
        <w:kinsoku/>
        <w:wordWrap/>
        <w:overflowPunct/>
        <w:topLinePunct w:val="0"/>
        <w:autoSpaceDE/>
        <w:autoSpaceDN/>
        <w:bidi w:val="0"/>
        <w:adjustRightInd/>
        <w:snapToGrid/>
        <w:ind w:left="777" w:leftChars="200" w:hanging="357" w:hangingChars="170"/>
        <w:textAlignment w:val="auto"/>
        <w:outlineLvl w:val="9"/>
      </w:pPr>
      <w:r>
        <w:rPr>
          <w:rFonts w:hint="eastAsia" w:ascii="宋体" w:hAnsi="Times New Roman" w:eastAsia="宋体" w:cs="Times New Roman"/>
          <w:sz w:val="21"/>
          <w:szCs w:val="20"/>
        </w:rPr>
        <w:t>ATO目标速度应等于线路等级速度，ATP顶棚速度应等于线路等级速度+7</w:t>
      </w:r>
      <w:r>
        <w:rPr>
          <w:rFonts w:hint="eastAsia" w:cs="Times New Roman"/>
          <w:sz w:val="21"/>
          <w:szCs w:val="20"/>
          <w:lang w:eastAsia="zh-CN"/>
        </w:rPr>
        <w:t xml:space="preserve"> </w:t>
      </w:r>
      <w:r>
        <w:rPr>
          <w:rFonts w:hint="eastAsia" w:ascii="宋体" w:hAnsi="Times New Roman" w:eastAsia="宋体" w:cs="Times New Roman"/>
          <w:sz w:val="21"/>
          <w:szCs w:val="20"/>
        </w:rPr>
        <w:t>km/h，车辆超速防护（紧急制动）触发速度为线路等级速度+8</w:t>
      </w:r>
      <w:r>
        <w:rPr>
          <w:rFonts w:hint="eastAsia" w:cs="Times New Roman"/>
          <w:sz w:val="21"/>
          <w:szCs w:val="20"/>
          <w:lang w:eastAsia="zh-CN"/>
        </w:rPr>
        <w:t xml:space="preserve"> </w:t>
      </w:r>
      <w:r>
        <w:rPr>
          <w:rFonts w:hint="eastAsia" w:ascii="宋体" w:hAnsi="Times New Roman" w:eastAsia="宋体" w:cs="Times New Roman"/>
          <w:sz w:val="21"/>
          <w:szCs w:val="20"/>
        </w:rPr>
        <w:t>km/h；</w:t>
      </w:r>
    </w:p>
    <w:p>
      <w:pPr>
        <w:pStyle w:val="176"/>
        <w:keepNext w:val="0"/>
        <w:keepLines w:val="0"/>
        <w:pageBreakBefore w:val="0"/>
        <w:widowControl/>
        <w:numPr>
          <w:ilvl w:val="0"/>
          <w:numId w:val="38"/>
        </w:numPr>
        <w:kinsoku/>
        <w:wordWrap/>
        <w:overflowPunct/>
        <w:topLinePunct w:val="0"/>
        <w:autoSpaceDE/>
        <w:autoSpaceDN/>
        <w:bidi w:val="0"/>
        <w:adjustRightInd/>
        <w:snapToGrid/>
        <w:ind w:left="777" w:leftChars="200" w:hanging="357" w:hangingChars="170"/>
        <w:textAlignment w:val="auto"/>
        <w:outlineLvl w:val="9"/>
      </w:pPr>
      <w:r>
        <w:rPr>
          <w:rFonts w:hint="eastAsia" w:ascii="宋体" w:hAnsi="Times New Roman" w:eastAsia="宋体" w:cs="Times New Roman"/>
          <w:sz w:val="21"/>
          <w:szCs w:val="20"/>
        </w:rPr>
        <w:t>除调试作业规定外，列车运行速度不应超过最高运行速度，当线路的最高允许速度、车辆构造速度、信号允许速度不一致时，按其中最低速度要求运行</w:t>
      </w:r>
      <w:r>
        <w:rPr>
          <w:rFonts w:hint="eastAsia" w:cs="Times New Roman"/>
          <w:sz w:val="21"/>
          <w:szCs w:val="20"/>
          <w:lang w:eastAsia="zh-CN"/>
        </w:rPr>
        <w:t>；</w:t>
      </w:r>
    </w:p>
    <w:p>
      <w:pPr>
        <w:pStyle w:val="176"/>
        <w:keepNext w:val="0"/>
        <w:keepLines w:val="0"/>
        <w:pageBreakBefore w:val="0"/>
        <w:widowControl/>
        <w:numPr>
          <w:ilvl w:val="0"/>
          <w:numId w:val="38"/>
        </w:numPr>
        <w:kinsoku/>
        <w:wordWrap/>
        <w:overflowPunct/>
        <w:topLinePunct w:val="0"/>
        <w:autoSpaceDE/>
        <w:autoSpaceDN/>
        <w:bidi w:val="0"/>
        <w:adjustRightInd/>
        <w:snapToGrid/>
        <w:ind w:left="777" w:leftChars="200" w:hanging="357" w:hangingChars="170"/>
        <w:textAlignment w:val="auto"/>
        <w:outlineLvl w:val="9"/>
      </w:pPr>
      <w:r>
        <w:rPr>
          <w:rFonts w:hint="eastAsia" w:ascii="宋体" w:hAnsi="Times New Roman" w:eastAsia="宋体" w:cs="Times New Roman"/>
          <w:sz w:val="21"/>
          <w:szCs w:val="20"/>
        </w:rPr>
        <w:t>越站列车通过站台时运行速度不宜大于60</w:t>
      </w:r>
      <w:r>
        <w:rPr>
          <w:rFonts w:hint="eastAsia" w:cs="Times New Roman"/>
          <w:sz w:val="21"/>
          <w:szCs w:val="20"/>
          <w:lang w:eastAsia="zh-CN"/>
        </w:rPr>
        <w:t xml:space="preserve"> </w:t>
      </w:r>
      <w:r>
        <w:rPr>
          <w:rFonts w:hint="eastAsia" w:ascii="宋体" w:hAnsi="Times New Roman" w:eastAsia="宋体" w:cs="Times New Roman"/>
          <w:sz w:val="21"/>
          <w:szCs w:val="20"/>
        </w:rPr>
        <w:t>km/h</w:t>
      </w:r>
      <w:r>
        <w:rPr>
          <w:rFonts w:hint="eastAsia" w:cs="Times New Roman"/>
          <w:sz w:val="21"/>
          <w:szCs w:val="20"/>
          <w:lang w:eastAsia="zh-CN"/>
        </w:rPr>
        <w:t>。</w:t>
      </w:r>
      <w:bookmarkStart w:id="98" w:name="_Toc9450"/>
    </w:p>
    <w:bookmarkEnd w:id="98"/>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99" w:name="_Toc15428"/>
      <w:r>
        <w:rPr>
          <w:rFonts w:hint="eastAsia" w:ascii="宋体" w:hAnsi="宋体" w:eastAsia="宋体" w:cs="宋体"/>
        </w:rPr>
        <w:t>在折返站退出运营的列车，应组织清客后进入折返线。当列车在运行中发生不能保障安全运行的故障时，应优先选择在车站清客，故障列车退出运营。</w:t>
      </w:r>
      <w:bookmarkEnd w:id="99"/>
    </w:p>
    <w:p>
      <w:pPr>
        <w:pStyle w:val="107"/>
        <w:spacing w:before="120" w:after="120"/>
        <w:rPr>
          <w:rFonts w:hint="eastAsia" w:hAnsi="Times New Roman" w:cs="Times New Roman"/>
        </w:rPr>
      </w:pPr>
      <w:bookmarkStart w:id="100" w:name="_Toc88567714"/>
      <w:bookmarkStart w:id="101" w:name="_Toc14140"/>
      <w:bookmarkStart w:id="102" w:name="_Toc29040"/>
      <w:r>
        <w:rPr>
          <w:rFonts w:hint="eastAsia" w:hAnsi="Times New Roman" w:cs="Times New Roman"/>
        </w:rPr>
        <w:t>行车记录</w:t>
      </w:r>
      <w:bookmarkEnd w:id="100"/>
      <w:bookmarkEnd w:id="101"/>
      <w:bookmarkEnd w:id="102"/>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03" w:name="_Toc13678"/>
      <w:r>
        <w:rPr>
          <w:rFonts w:hint="eastAsia" w:ascii="宋体" w:hAnsi="宋体" w:eastAsia="宋体" w:cs="宋体"/>
        </w:rPr>
        <w:t>OCC的行车记录包括运营前检查情况、行车日志、调度命令记录、施工作业记录和行车设备故障及影响情况等。</w:t>
      </w:r>
      <w:bookmarkEnd w:id="103"/>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04" w:name="_Toc5877"/>
      <w:r>
        <w:rPr>
          <w:rFonts w:hint="eastAsia" w:ascii="宋体" w:hAnsi="宋体" w:eastAsia="宋体" w:cs="宋体"/>
        </w:rPr>
        <w:t>其</w:t>
      </w:r>
      <w:r>
        <w:rPr>
          <w:rFonts w:hint="eastAsia" w:ascii="宋体" w:hAnsi="宋体" w:eastAsia="宋体" w:cs="宋体"/>
          <w:lang w:eastAsia="zh-CN"/>
        </w:rPr>
        <w:t>他</w:t>
      </w:r>
      <w:r>
        <w:rPr>
          <w:rFonts w:hint="eastAsia" w:ascii="宋体" w:hAnsi="宋体" w:eastAsia="宋体" w:cs="宋体"/>
        </w:rPr>
        <w:t>岗位应按照各自的生产要求如实做好各种工作记录，以备查验。</w:t>
      </w:r>
      <w:bookmarkEnd w:id="104"/>
    </w:p>
    <w:p>
      <w:pPr>
        <w:pStyle w:val="106"/>
        <w:spacing w:before="240" w:after="240"/>
        <w:rPr>
          <w:rFonts w:hint="eastAsia"/>
          <w:lang w:val="en-US" w:eastAsia="zh-CN"/>
        </w:rPr>
      </w:pPr>
      <w:bookmarkStart w:id="105" w:name="_Toc88567715"/>
      <w:bookmarkStart w:id="106" w:name="_Toc1958"/>
      <w:bookmarkStart w:id="107" w:name="_Toc8633"/>
      <w:r>
        <w:rPr>
          <w:rFonts w:hint="eastAsia"/>
          <w:lang w:val="en-US" w:eastAsia="zh-CN"/>
        </w:rPr>
        <w:t>设备设施</w:t>
      </w:r>
      <w:bookmarkEnd w:id="105"/>
      <w:bookmarkEnd w:id="106"/>
      <w:bookmarkEnd w:id="107"/>
    </w:p>
    <w:p>
      <w:pPr>
        <w:pStyle w:val="107"/>
        <w:spacing w:before="120" w:after="120"/>
        <w:rPr>
          <w:rFonts w:hint="eastAsia" w:hAnsi="Times New Roman" w:cs="Times New Roman"/>
        </w:rPr>
      </w:pPr>
      <w:bookmarkStart w:id="108" w:name="_Toc26706"/>
      <w:bookmarkStart w:id="109" w:name="_Toc88567716"/>
      <w:bookmarkStart w:id="110" w:name="_Toc7365"/>
      <w:r>
        <w:rPr>
          <w:rFonts w:hint="eastAsia" w:hAnsi="Times New Roman" w:cs="Times New Roman"/>
        </w:rPr>
        <w:t>一般要求</w:t>
      </w:r>
      <w:bookmarkEnd w:id="108"/>
      <w:bookmarkEnd w:id="109"/>
      <w:bookmarkEnd w:id="110"/>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11" w:name="_Toc16644"/>
      <w:r>
        <w:rPr>
          <w:rFonts w:hint="eastAsia" w:ascii="宋体" w:hAnsi="宋体" w:eastAsia="宋体" w:cs="宋体"/>
        </w:rPr>
        <w:t>设备设施包括车站、线路、车辆、信号系统、通信系统、供电系统、站台门、火灾自动报警系统、通风空调系统、综合监控系统、消防与给排水系统等。运营单位应建立完备的设备设施台账</w:t>
      </w:r>
      <w:r>
        <w:rPr>
          <w:rFonts w:hint="eastAsia" w:ascii="宋体" w:hAnsi="宋体" w:eastAsia="宋体" w:cs="宋体"/>
          <w:lang w:eastAsia="zh-CN"/>
        </w:rPr>
        <w:t>，并制定</w:t>
      </w:r>
      <w:r>
        <w:rPr>
          <w:rFonts w:hint="eastAsia" w:ascii="宋体" w:hAnsi="宋体" w:eastAsia="宋体" w:cs="宋体"/>
        </w:rPr>
        <w:t>相应的设备设施操作细则。</w:t>
      </w:r>
      <w:bookmarkEnd w:id="111"/>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12" w:name="_Toc19946"/>
      <w:r>
        <w:rPr>
          <w:rFonts w:hint="eastAsia" w:ascii="宋体" w:hAnsi="宋体" w:eastAsia="宋体" w:cs="宋体"/>
        </w:rPr>
        <w:t>运营单位应掌握与行车相关的各项设备设施的基本属性,开展行车组织和运营管理。</w:t>
      </w:r>
      <w:bookmarkEnd w:id="112"/>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13" w:name="_Toc19704"/>
      <w:r>
        <w:rPr>
          <w:rFonts w:hint="eastAsia" w:ascii="宋体" w:hAnsi="宋体" w:eastAsia="宋体" w:cs="宋体"/>
        </w:rPr>
        <w:t>运营单位应按GB/T 30012和GB 50490等规定的养护维修要求</w:t>
      </w:r>
      <w:r>
        <w:rPr>
          <w:rFonts w:hint="eastAsia" w:ascii="宋体" w:hAnsi="宋体" w:eastAsia="宋体" w:cs="宋体"/>
          <w:lang w:eastAsia="zh-CN"/>
        </w:rPr>
        <w:t>，</w:t>
      </w:r>
      <w:r>
        <w:rPr>
          <w:rFonts w:hint="eastAsia" w:ascii="宋体" w:hAnsi="宋体" w:eastAsia="宋体" w:cs="宋体"/>
        </w:rPr>
        <w:t>组织设备</w:t>
      </w:r>
      <w:r>
        <w:rPr>
          <w:rFonts w:hint="eastAsia" w:ascii="宋体" w:hAnsi="宋体" w:eastAsia="宋体" w:cs="宋体"/>
          <w:lang w:eastAsia="zh-CN"/>
        </w:rPr>
        <w:t>供应商</w:t>
      </w:r>
      <w:r>
        <w:rPr>
          <w:rFonts w:hint="eastAsia" w:ascii="宋体" w:hAnsi="宋体" w:eastAsia="宋体" w:cs="宋体"/>
        </w:rPr>
        <w:t>对各项设备设施进行日常巡检、测试和维修</w:t>
      </w:r>
      <w:r>
        <w:rPr>
          <w:rFonts w:hint="eastAsia" w:ascii="宋体" w:hAnsi="宋体" w:eastAsia="宋体" w:cs="宋体"/>
          <w:lang w:eastAsia="zh-CN"/>
        </w:rPr>
        <w:t>，</w:t>
      </w:r>
      <w:r>
        <w:rPr>
          <w:rFonts w:hint="eastAsia" w:ascii="宋体" w:hAnsi="宋体" w:eastAsia="宋体" w:cs="宋体"/>
        </w:rPr>
        <w:t>满足行车组织、调度指挥、信息传送和安全保证等功能要求。</w:t>
      </w:r>
      <w:bookmarkEnd w:id="113"/>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14" w:name="_Toc24191"/>
      <w:r>
        <w:rPr>
          <w:rFonts w:hint="eastAsia" w:ascii="宋体" w:hAnsi="宋体" w:eastAsia="宋体" w:cs="宋体"/>
        </w:rPr>
        <w:t>运营线路开通延长段、增购车辆或进行设备改造时，设备设施的功能应与既有设备保持一致。</w:t>
      </w:r>
      <w:bookmarkEnd w:id="114"/>
    </w:p>
    <w:p>
      <w:pPr>
        <w:pStyle w:val="107"/>
        <w:spacing w:before="120" w:after="120"/>
        <w:rPr>
          <w:rFonts w:hint="eastAsia" w:hAnsi="Times New Roman" w:cs="Times New Roman"/>
        </w:rPr>
      </w:pPr>
      <w:bookmarkStart w:id="115" w:name="_Toc24085"/>
      <w:bookmarkStart w:id="116" w:name="_Toc88567717"/>
      <w:bookmarkStart w:id="117" w:name="_Toc87279164"/>
      <w:bookmarkStart w:id="118" w:name="_Toc15876"/>
      <w:r>
        <w:rPr>
          <w:rFonts w:hint="eastAsia" w:hAnsi="Times New Roman" w:cs="Times New Roman"/>
        </w:rPr>
        <w:t>限界</w:t>
      </w:r>
      <w:bookmarkEnd w:id="115"/>
      <w:bookmarkEnd w:id="116"/>
      <w:bookmarkEnd w:id="117"/>
      <w:bookmarkEnd w:id="118"/>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19" w:name="_Toc25241"/>
      <w:r>
        <w:rPr>
          <w:rFonts w:hint="eastAsia" w:ascii="宋体" w:hAnsi="宋体" w:eastAsia="宋体" w:cs="宋体"/>
        </w:rPr>
        <w:t>任何情况下，建、构筑物不应侵入建筑限界。</w:t>
      </w:r>
      <w:bookmarkEnd w:id="119"/>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20" w:name="_Toc27932"/>
      <w:r>
        <w:rPr>
          <w:rFonts w:hint="eastAsia" w:ascii="宋体" w:hAnsi="宋体" w:eastAsia="宋体" w:cs="宋体"/>
        </w:rPr>
        <w:t>任何情况下，设备不应侵入设备限界。</w:t>
      </w:r>
      <w:bookmarkEnd w:id="120"/>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21" w:name="_Toc24508"/>
      <w:r>
        <w:rPr>
          <w:rFonts w:hint="eastAsia" w:ascii="宋体" w:hAnsi="宋体" w:eastAsia="宋体" w:cs="宋体"/>
        </w:rPr>
        <w:t>车辆无论空重状态，均不应超过车辆限界。</w:t>
      </w:r>
      <w:bookmarkEnd w:id="121"/>
    </w:p>
    <w:p>
      <w:pPr>
        <w:pStyle w:val="107"/>
        <w:spacing w:before="120" w:after="120"/>
        <w:rPr>
          <w:rFonts w:hint="eastAsia" w:hAnsi="Times New Roman" w:cs="Times New Roman"/>
        </w:rPr>
      </w:pPr>
      <w:bookmarkStart w:id="122" w:name="_Toc8336"/>
      <w:bookmarkStart w:id="123" w:name="_Toc88567718"/>
      <w:bookmarkStart w:id="124" w:name="_Toc16464"/>
      <w:r>
        <w:rPr>
          <w:rFonts w:hint="eastAsia" w:hAnsi="Times New Roman" w:cs="Times New Roman"/>
        </w:rPr>
        <w:t>管理要求</w:t>
      </w:r>
      <w:bookmarkEnd w:id="122"/>
      <w:bookmarkEnd w:id="123"/>
      <w:bookmarkEnd w:id="124"/>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25" w:name="_Toc26223"/>
      <w:r>
        <w:rPr>
          <w:rFonts w:hint="eastAsia" w:ascii="宋体" w:hAnsi="宋体" w:eastAsia="宋体" w:cs="宋体"/>
        </w:rPr>
        <w:t>运营单位应明确行车管辖范围、车站与区间的分界点、综合车场线路与正线分界点、综合车场全自动运行区域与非全自动运行区域分界点，明确行车组织手续办理的要求。</w:t>
      </w:r>
      <w:bookmarkEnd w:id="125"/>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26" w:name="_Toc17521"/>
      <w:r>
        <w:rPr>
          <w:rFonts w:hint="eastAsia" w:ascii="宋体" w:hAnsi="宋体" w:eastAsia="宋体" w:cs="宋体"/>
        </w:rPr>
        <w:t>运营单位应明确正线、配线和综合车场线路的信号布置、小曲线半径、线路坡度、线路允许速度、道岔、轨道梁等与行车相关的配置及参数，并设置相应行车标识。</w:t>
      </w:r>
      <w:bookmarkEnd w:id="126"/>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27" w:name="_Toc377"/>
      <w:r>
        <w:rPr>
          <w:rFonts w:hint="eastAsia" w:ascii="宋体" w:hAnsi="宋体" w:eastAsia="宋体" w:cs="宋体"/>
        </w:rPr>
        <w:t>运营车辆保有量应按线路运量规模配置。预测客运量规模超过设计预期时，运营单位应提前购置所需车辆投入运营，并补充完善相应配套设施。</w:t>
      </w:r>
      <w:bookmarkEnd w:id="127"/>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r>
        <w:rPr>
          <w:rFonts w:hint="eastAsia" w:ascii="宋体" w:hAnsi="宋体" w:eastAsia="宋体" w:cs="宋体"/>
        </w:rPr>
        <w:t>运营单位应做好动力电池全寿命周期管理，确保列车电池容量、能耗水平满足运营需求。</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28" w:name="_Toc21352"/>
      <w:r>
        <w:rPr>
          <w:rFonts w:hint="eastAsia" w:ascii="宋体" w:hAnsi="宋体" w:eastAsia="宋体" w:cs="宋体"/>
        </w:rPr>
        <w:t>运营单位应做好土建工程、车辆、通信、信号、供电、机电等设施设备的运行维护工作，确保各设施设备系统兼容协调，能够按照最大设计能力稳定运行，</w:t>
      </w:r>
      <w:r>
        <w:rPr>
          <w:rFonts w:hint="eastAsia" w:ascii="宋体" w:hAnsi="宋体" w:eastAsia="宋体" w:cs="宋体"/>
          <w:lang w:eastAsia="zh-CN"/>
        </w:rPr>
        <w:t>满足</w:t>
      </w:r>
      <w:r>
        <w:rPr>
          <w:rFonts w:hint="eastAsia" w:ascii="宋体" w:hAnsi="宋体" w:eastAsia="宋体" w:cs="宋体"/>
        </w:rPr>
        <w:t>行车组织需要。</w:t>
      </w:r>
      <w:bookmarkEnd w:id="128"/>
    </w:p>
    <w:p>
      <w:pPr>
        <w:pStyle w:val="106"/>
        <w:spacing w:before="240" w:after="240"/>
        <w:rPr>
          <w:rFonts w:hint="eastAsia"/>
          <w:lang w:val="en-US" w:eastAsia="zh-CN"/>
        </w:rPr>
      </w:pPr>
      <w:bookmarkStart w:id="129" w:name="_Toc28301"/>
      <w:bookmarkStart w:id="130" w:name="_Toc22520"/>
      <w:bookmarkStart w:id="131" w:name="_Toc88567719"/>
      <w:r>
        <w:rPr>
          <w:rFonts w:hint="eastAsia"/>
          <w:lang w:val="en-US" w:eastAsia="zh-CN"/>
        </w:rPr>
        <w:t>正常情况下的行车组织</w:t>
      </w:r>
      <w:bookmarkEnd w:id="129"/>
      <w:bookmarkEnd w:id="130"/>
      <w:bookmarkEnd w:id="131"/>
    </w:p>
    <w:p>
      <w:pPr>
        <w:pStyle w:val="107"/>
        <w:spacing w:before="120" w:after="120"/>
        <w:rPr>
          <w:rFonts w:hint="eastAsia" w:hAnsi="Times New Roman" w:cs="Times New Roman"/>
        </w:rPr>
      </w:pPr>
      <w:bookmarkStart w:id="132" w:name="_Toc20154"/>
      <w:bookmarkStart w:id="133" w:name="_Toc88567720"/>
      <w:bookmarkStart w:id="134" w:name="_Toc23267"/>
      <w:r>
        <w:rPr>
          <w:rFonts w:hint="eastAsia" w:hAnsi="Times New Roman" w:cs="Times New Roman"/>
        </w:rPr>
        <w:t>一般要求</w:t>
      </w:r>
      <w:bookmarkEnd w:id="132"/>
      <w:bookmarkEnd w:id="133"/>
      <w:bookmarkEnd w:id="134"/>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35" w:name="_Toc24895"/>
      <w:r>
        <w:rPr>
          <w:rFonts w:hint="eastAsia" w:ascii="宋体" w:hAnsi="宋体" w:eastAsia="宋体" w:cs="宋体"/>
        </w:rPr>
        <w:t>行车相关岗位应按列车运行计划开展正常情况下的行车组织</w:t>
      </w:r>
      <w:r>
        <w:rPr>
          <w:rFonts w:hint="eastAsia" w:ascii="宋体" w:hAnsi="宋体" w:eastAsia="宋体" w:cs="宋体"/>
          <w:lang w:eastAsia="zh-CN"/>
        </w:rPr>
        <w:t>工作</w:t>
      </w:r>
      <w:r>
        <w:rPr>
          <w:rFonts w:hint="eastAsia" w:ascii="宋体" w:hAnsi="宋体" w:eastAsia="宋体" w:cs="宋体"/>
        </w:rPr>
        <w:t>，最大限度确保列车运行计划的兑现。</w:t>
      </w:r>
      <w:bookmarkEnd w:id="135"/>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36" w:name="_Toc7682"/>
      <w:r>
        <w:rPr>
          <w:rFonts w:hint="eastAsia" w:ascii="宋体" w:hAnsi="宋体" w:eastAsia="宋体" w:cs="宋体"/>
        </w:rPr>
        <w:t>行车相关岗位应按规章制度、岗位流程等要求操作，保障行车安全、准点。</w:t>
      </w:r>
      <w:bookmarkEnd w:id="136"/>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37" w:name="_Toc16546"/>
      <w:r>
        <w:rPr>
          <w:rFonts w:hint="eastAsia" w:ascii="宋体" w:hAnsi="宋体" w:eastAsia="宋体" w:cs="宋体"/>
        </w:rPr>
        <w:t>行车岗位人员</w:t>
      </w:r>
      <w:r>
        <w:rPr>
          <w:rFonts w:hint="eastAsia" w:ascii="宋体" w:hAnsi="宋体" w:eastAsia="宋体" w:cs="宋体"/>
          <w:lang w:eastAsia="zh-CN"/>
        </w:rPr>
        <w:t>操作行车设备时</w:t>
      </w:r>
      <w:r>
        <w:rPr>
          <w:rFonts w:hint="eastAsia" w:ascii="宋体" w:hAnsi="宋体" w:eastAsia="宋体" w:cs="宋体"/>
        </w:rPr>
        <w:t>应执行眼看、手指、口呼确认制度，必要时执行双人确认制度。</w:t>
      </w:r>
      <w:bookmarkEnd w:id="137"/>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38" w:name="_Toc13494"/>
      <w:r>
        <w:rPr>
          <w:rFonts w:hint="eastAsia" w:ascii="宋体" w:hAnsi="宋体" w:eastAsia="宋体" w:cs="宋体"/>
        </w:rPr>
        <w:t>行车岗位人员行车作业时应使用行车标准用语。</w:t>
      </w:r>
      <w:bookmarkEnd w:id="138"/>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39" w:name="_Toc20628"/>
      <w:r>
        <w:rPr>
          <w:rFonts w:hint="eastAsia" w:ascii="宋体" w:hAnsi="宋体" w:eastAsia="宋体" w:cs="宋体"/>
        </w:rPr>
        <w:t>行车标准用语应使用标准普通话，内容简明、语速适中、术语标准，不得随意简化，行车用语数字发音标准宜按表1要求执行。</w:t>
      </w:r>
      <w:bookmarkEnd w:id="139"/>
    </w:p>
    <w:p>
      <w:pPr>
        <w:pStyle w:val="243"/>
        <w:keepNext w:val="0"/>
        <w:keepLines w:val="0"/>
        <w:pageBreakBefore w:val="0"/>
        <w:widowControl/>
        <w:kinsoku/>
        <w:wordWrap/>
        <w:overflowPunct/>
        <w:topLinePunct w:val="0"/>
        <w:autoSpaceDE/>
        <w:autoSpaceDN/>
        <w:bidi w:val="0"/>
        <w:adjustRightInd/>
        <w:snapToGrid/>
        <w:spacing w:before="156" w:after="156"/>
        <w:ind w:left="0"/>
        <w:textAlignment w:val="auto"/>
      </w:pPr>
      <w:r>
        <w:rPr>
          <w:rFonts w:hint="eastAsia"/>
        </w:rPr>
        <w:t>数字</w:t>
      </w:r>
      <w:r>
        <w:t>发音标准</w:t>
      </w:r>
    </w:p>
    <w:tbl>
      <w:tblPr>
        <w:tblStyle w:val="29"/>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67"/>
        <w:gridCol w:w="973"/>
        <w:gridCol w:w="1177"/>
        <w:gridCol w:w="944"/>
        <w:gridCol w:w="768"/>
        <w:gridCol w:w="861"/>
        <w:gridCol w:w="766"/>
        <w:gridCol w:w="766"/>
        <w:gridCol w:w="796"/>
        <w:gridCol w:w="768"/>
        <w:gridCol w:w="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401" w:type="pct"/>
            <w:vAlign w:val="center"/>
          </w:tcPr>
          <w:p>
            <w:pPr>
              <w:pStyle w:val="233"/>
              <w:tabs>
                <w:tab w:val="center" w:pos="420"/>
              </w:tabs>
              <w:ind w:firstLine="0" w:firstLineChars="0"/>
              <w:jc w:val="center"/>
              <w:rPr>
                <w:rFonts w:hAnsi="宋体"/>
                <w:sz w:val="18"/>
                <w:szCs w:val="18"/>
              </w:rPr>
            </w:pPr>
            <w:r>
              <w:rPr>
                <w:rFonts w:hint="eastAsia" w:hAnsi="宋体"/>
                <w:sz w:val="18"/>
                <w:szCs w:val="18"/>
              </w:rPr>
              <w:t>数字</w:t>
            </w:r>
          </w:p>
        </w:tc>
        <w:tc>
          <w:tcPr>
            <w:tcW w:w="509" w:type="pct"/>
            <w:vAlign w:val="center"/>
          </w:tcPr>
          <w:p>
            <w:pPr>
              <w:pStyle w:val="233"/>
              <w:tabs>
                <w:tab w:val="center" w:pos="420"/>
              </w:tabs>
              <w:ind w:firstLine="0" w:firstLineChars="0"/>
              <w:jc w:val="center"/>
              <w:rPr>
                <w:rFonts w:hAnsi="宋体"/>
                <w:sz w:val="18"/>
                <w:szCs w:val="18"/>
              </w:rPr>
            </w:pPr>
            <w:r>
              <w:rPr>
                <w:rFonts w:hint="eastAsia" w:hAnsi="宋体"/>
                <w:sz w:val="18"/>
                <w:szCs w:val="18"/>
              </w:rPr>
              <w:t>1</w:t>
            </w:r>
          </w:p>
        </w:tc>
        <w:tc>
          <w:tcPr>
            <w:tcW w:w="615" w:type="pct"/>
            <w:vAlign w:val="center"/>
          </w:tcPr>
          <w:p>
            <w:pPr>
              <w:pStyle w:val="233"/>
              <w:tabs>
                <w:tab w:val="center" w:pos="420"/>
              </w:tabs>
              <w:ind w:firstLine="0" w:firstLineChars="0"/>
              <w:jc w:val="center"/>
              <w:rPr>
                <w:rFonts w:hAnsi="宋体"/>
                <w:sz w:val="18"/>
                <w:szCs w:val="18"/>
              </w:rPr>
            </w:pPr>
            <w:r>
              <w:rPr>
                <w:rFonts w:hint="eastAsia" w:hAnsi="宋体"/>
                <w:sz w:val="18"/>
                <w:szCs w:val="18"/>
              </w:rPr>
              <w:t>2</w:t>
            </w:r>
          </w:p>
        </w:tc>
        <w:tc>
          <w:tcPr>
            <w:tcW w:w="493" w:type="pct"/>
            <w:vAlign w:val="center"/>
          </w:tcPr>
          <w:p>
            <w:pPr>
              <w:pStyle w:val="233"/>
              <w:tabs>
                <w:tab w:val="center" w:pos="420"/>
              </w:tabs>
              <w:ind w:firstLine="0" w:firstLineChars="0"/>
              <w:jc w:val="center"/>
              <w:rPr>
                <w:rFonts w:hAnsi="宋体"/>
                <w:sz w:val="18"/>
                <w:szCs w:val="18"/>
              </w:rPr>
            </w:pPr>
            <w:r>
              <w:rPr>
                <w:rFonts w:hint="eastAsia" w:hAnsi="宋体"/>
                <w:sz w:val="18"/>
                <w:szCs w:val="18"/>
              </w:rPr>
              <w:t>3</w:t>
            </w:r>
          </w:p>
        </w:tc>
        <w:tc>
          <w:tcPr>
            <w:tcW w:w="401" w:type="pct"/>
            <w:vAlign w:val="center"/>
          </w:tcPr>
          <w:p>
            <w:pPr>
              <w:pStyle w:val="233"/>
              <w:tabs>
                <w:tab w:val="center" w:pos="420"/>
              </w:tabs>
              <w:ind w:firstLine="0" w:firstLineChars="0"/>
              <w:jc w:val="center"/>
              <w:rPr>
                <w:rFonts w:hAnsi="宋体"/>
                <w:sz w:val="18"/>
                <w:szCs w:val="18"/>
              </w:rPr>
            </w:pPr>
            <w:r>
              <w:rPr>
                <w:rFonts w:hint="eastAsia" w:hAnsi="宋体"/>
                <w:sz w:val="18"/>
                <w:szCs w:val="18"/>
              </w:rPr>
              <w:t>4</w:t>
            </w:r>
          </w:p>
        </w:tc>
        <w:tc>
          <w:tcPr>
            <w:tcW w:w="450" w:type="pct"/>
            <w:vAlign w:val="center"/>
          </w:tcPr>
          <w:p>
            <w:pPr>
              <w:pStyle w:val="233"/>
              <w:tabs>
                <w:tab w:val="center" w:pos="420"/>
              </w:tabs>
              <w:ind w:firstLine="0" w:firstLineChars="0"/>
              <w:jc w:val="center"/>
              <w:rPr>
                <w:rFonts w:hAnsi="宋体"/>
                <w:sz w:val="18"/>
                <w:szCs w:val="18"/>
              </w:rPr>
            </w:pPr>
            <w:r>
              <w:rPr>
                <w:rFonts w:hint="eastAsia" w:hAnsi="宋体"/>
                <w:sz w:val="18"/>
                <w:szCs w:val="18"/>
              </w:rPr>
              <w:t>5</w:t>
            </w:r>
          </w:p>
        </w:tc>
        <w:tc>
          <w:tcPr>
            <w:tcW w:w="400" w:type="pct"/>
            <w:vAlign w:val="center"/>
          </w:tcPr>
          <w:p>
            <w:pPr>
              <w:pStyle w:val="233"/>
              <w:tabs>
                <w:tab w:val="center" w:pos="420"/>
              </w:tabs>
              <w:ind w:firstLine="0" w:firstLineChars="0"/>
              <w:jc w:val="center"/>
              <w:rPr>
                <w:rFonts w:hAnsi="宋体"/>
                <w:sz w:val="18"/>
                <w:szCs w:val="18"/>
              </w:rPr>
            </w:pPr>
            <w:r>
              <w:rPr>
                <w:rFonts w:hint="eastAsia" w:hAnsi="宋体"/>
                <w:sz w:val="18"/>
                <w:szCs w:val="18"/>
              </w:rPr>
              <w:t>6</w:t>
            </w:r>
          </w:p>
        </w:tc>
        <w:tc>
          <w:tcPr>
            <w:tcW w:w="400" w:type="pct"/>
            <w:vAlign w:val="center"/>
          </w:tcPr>
          <w:p>
            <w:pPr>
              <w:pStyle w:val="233"/>
              <w:tabs>
                <w:tab w:val="center" w:pos="420"/>
              </w:tabs>
              <w:ind w:firstLine="0" w:firstLineChars="0"/>
              <w:jc w:val="center"/>
              <w:rPr>
                <w:rFonts w:hAnsi="宋体"/>
                <w:sz w:val="18"/>
                <w:szCs w:val="18"/>
              </w:rPr>
            </w:pPr>
            <w:r>
              <w:rPr>
                <w:rFonts w:hint="eastAsia" w:hAnsi="宋体"/>
                <w:sz w:val="18"/>
                <w:szCs w:val="18"/>
              </w:rPr>
              <w:t>7</w:t>
            </w:r>
          </w:p>
        </w:tc>
        <w:tc>
          <w:tcPr>
            <w:tcW w:w="416" w:type="pct"/>
            <w:vAlign w:val="center"/>
          </w:tcPr>
          <w:p>
            <w:pPr>
              <w:pStyle w:val="233"/>
              <w:tabs>
                <w:tab w:val="center" w:pos="420"/>
              </w:tabs>
              <w:ind w:firstLine="0" w:firstLineChars="0"/>
              <w:jc w:val="center"/>
              <w:rPr>
                <w:rFonts w:hAnsi="宋体"/>
                <w:sz w:val="18"/>
                <w:szCs w:val="18"/>
              </w:rPr>
            </w:pPr>
            <w:r>
              <w:rPr>
                <w:rFonts w:hint="eastAsia" w:hAnsi="宋体"/>
                <w:sz w:val="18"/>
                <w:szCs w:val="18"/>
              </w:rPr>
              <w:t>8</w:t>
            </w:r>
          </w:p>
        </w:tc>
        <w:tc>
          <w:tcPr>
            <w:tcW w:w="401" w:type="pct"/>
            <w:vAlign w:val="center"/>
          </w:tcPr>
          <w:p>
            <w:pPr>
              <w:pStyle w:val="233"/>
              <w:tabs>
                <w:tab w:val="center" w:pos="420"/>
              </w:tabs>
              <w:ind w:firstLine="0" w:firstLineChars="0"/>
              <w:jc w:val="center"/>
              <w:rPr>
                <w:rFonts w:hAnsi="宋体"/>
                <w:sz w:val="18"/>
                <w:szCs w:val="18"/>
              </w:rPr>
            </w:pPr>
            <w:r>
              <w:rPr>
                <w:rFonts w:hint="eastAsia" w:hAnsi="宋体"/>
                <w:sz w:val="18"/>
                <w:szCs w:val="18"/>
              </w:rPr>
              <w:t>9</w:t>
            </w:r>
          </w:p>
        </w:tc>
        <w:tc>
          <w:tcPr>
            <w:tcW w:w="515" w:type="pct"/>
            <w:vAlign w:val="center"/>
          </w:tcPr>
          <w:p>
            <w:pPr>
              <w:pStyle w:val="233"/>
              <w:tabs>
                <w:tab w:val="center" w:pos="420"/>
              </w:tabs>
              <w:ind w:firstLine="0" w:firstLineChars="0"/>
              <w:jc w:val="center"/>
              <w:rPr>
                <w:rFonts w:hAnsi="宋体"/>
                <w:sz w:val="18"/>
                <w:szCs w:val="18"/>
              </w:rPr>
            </w:pPr>
            <w:r>
              <w:rPr>
                <w:rFonts w:hint="eastAsia" w:hAnsi="宋体"/>
                <w:sz w:val="18"/>
                <w:szCs w:val="18"/>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401" w:type="pct"/>
            <w:vAlign w:val="center"/>
          </w:tcPr>
          <w:p>
            <w:pPr>
              <w:pStyle w:val="233"/>
              <w:tabs>
                <w:tab w:val="center" w:pos="420"/>
              </w:tabs>
              <w:ind w:firstLine="0" w:firstLineChars="0"/>
              <w:jc w:val="center"/>
              <w:rPr>
                <w:rFonts w:hAnsi="宋体"/>
                <w:sz w:val="18"/>
                <w:szCs w:val="18"/>
              </w:rPr>
            </w:pPr>
            <w:r>
              <w:rPr>
                <w:rFonts w:hint="eastAsia" w:hAnsi="宋体"/>
                <w:sz w:val="18"/>
                <w:szCs w:val="18"/>
              </w:rPr>
              <w:t>发音</w:t>
            </w:r>
          </w:p>
        </w:tc>
        <w:tc>
          <w:tcPr>
            <w:tcW w:w="509" w:type="pct"/>
            <w:vAlign w:val="center"/>
          </w:tcPr>
          <w:p>
            <w:pPr>
              <w:jc w:val="center"/>
              <w:rPr>
                <w:rFonts w:ascii="宋体" w:hAnsi="宋体"/>
                <w:sz w:val="18"/>
                <w:szCs w:val="18"/>
              </w:rPr>
            </w:pPr>
            <w:r>
              <w:rPr>
                <w:rFonts w:ascii="宋体" w:hAnsi="宋体"/>
                <w:sz w:val="18"/>
                <w:szCs w:val="18"/>
              </w:rPr>
              <w:t>yāo</w:t>
            </w:r>
          </w:p>
        </w:tc>
        <w:tc>
          <w:tcPr>
            <w:tcW w:w="615" w:type="pct"/>
            <w:vAlign w:val="center"/>
          </w:tcPr>
          <w:p>
            <w:pPr>
              <w:jc w:val="center"/>
              <w:rPr>
                <w:rFonts w:ascii="宋体" w:hAnsi="宋体"/>
                <w:sz w:val="18"/>
                <w:szCs w:val="18"/>
              </w:rPr>
            </w:pPr>
            <w:r>
              <w:rPr>
                <w:rFonts w:ascii="宋体" w:hAnsi="宋体"/>
                <w:sz w:val="18"/>
                <w:szCs w:val="18"/>
              </w:rPr>
              <w:t>liǎng</w:t>
            </w:r>
          </w:p>
        </w:tc>
        <w:tc>
          <w:tcPr>
            <w:tcW w:w="493" w:type="pct"/>
            <w:vAlign w:val="center"/>
          </w:tcPr>
          <w:p>
            <w:pPr>
              <w:jc w:val="center"/>
              <w:rPr>
                <w:rFonts w:ascii="宋体" w:hAnsi="宋体"/>
                <w:sz w:val="18"/>
                <w:szCs w:val="18"/>
              </w:rPr>
            </w:pPr>
            <w:r>
              <w:rPr>
                <w:rFonts w:ascii="宋体" w:hAnsi="宋体"/>
                <w:sz w:val="18"/>
                <w:szCs w:val="18"/>
              </w:rPr>
              <w:t>sān</w:t>
            </w:r>
          </w:p>
        </w:tc>
        <w:tc>
          <w:tcPr>
            <w:tcW w:w="401" w:type="pct"/>
            <w:vAlign w:val="center"/>
          </w:tcPr>
          <w:p>
            <w:pPr>
              <w:jc w:val="center"/>
              <w:rPr>
                <w:rFonts w:ascii="宋体" w:hAnsi="宋体"/>
                <w:sz w:val="18"/>
                <w:szCs w:val="18"/>
              </w:rPr>
            </w:pPr>
            <w:r>
              <w:rPr>
                <w:rFonts w:ascii="宋体" w:hAnsi="宋体"/>
                <w:sz w:val="18"/>
                <w:szCs w:val="18"/>
              </w:rPr>
              <w:t>sì</w:t>
            </w:r>
          </w:p>
        </w:tc>
        <w:tc>
          <w:tcPr>
            <w:tcW w:w="450" w:type="pct"/>
            <w:vAlign w:val="center"/>
          </w:tcPr>
          <w:p>
            <w:pPr>
              <w:jc w:val="center"/>
              <w:rPr>
                <w:rFonts w:ascii="宋体" w:hAnsi="宋体"/>
                <w:sz w:val="18"/>
                <w:szCs w:val="18"/>
              </w:rPr>
            </w:pPr>
            <w:r>
              <w:rPr>
                <w:rFonts w:ascii="宋体" w:hAnsi="宋体"/>
                <w:sz w:val="18"/>
                <w:szCs w:val="18"/>
              </w:rPr>
              <w:t>wǔ</w:t>
            </w:r>
          </w:p>
        </w:tc>
        <w:tc>
          <w:tcPr>
            <w:tcW w:w="400" w:type="pct"/>
            <w:vAlign w:val="center"/>
          </w:tcPr>
          <w:p>
            <w:pPr>
              <w:jc w:val="center"/>
              <w:rPr>
                <w:rFonts w:ascii="宋体" w:hAnsi="宋体"/>
                <w:sz w:val="18"/>
                <w:szCs w:val="18"/>
              </w:rPr>
            </w:pPr>
            <w:r>
              <w:rPr>
                <w:rFonts w:ascii="宋体" w:hAnsi="宋体"/>
                <w:sz w:val="18"/>
                <w:szCs w:val="18"/>
              </w:rPr>
              <w:t>liù</w:t>
            </w:r>
          </w:p>
        </w:tc>
        <w:tc>
          <w:tcPr>
            <w:tcW w:w="400" w:type="pct"/>
            <w:vAlign w:val="center"/>
          </w:tcPr>
          <w:p>
            <w:pPr>
              <w:jc w:val="center"/>
              <w:rPr>
                <w:rFonts w:ascii="宋体" w:hAnsi="宋体"/>
                <w:sz w:val="18"/>
                <w:szCs w:val="18"/>
              </w:rPr>
            </w:pPr>
            <w:r>
              <w:rPr>
                <w:rFonts w:ascii="宋体" w:hAnsi="宋体"/>
                <w:sz w:val="18"/>
                <w:szCs w:val="18"/>
              </w:rPr>
              <w:t>qī</w:t>
            </w:r>
          </w:p>
        </w:tc>
        <w:tc>
          <w:tcPr>
            <w:tcW w:w="416" w:type="pct"/>
            <w:vAlign w:val="center"/>
          </w:tcPr>
          <w:p>
            <w:pPr>
              <w:jc w:val="center"/>
              <w:rPr>
                <w:rFonts w:ascii="宋体" w:hAnsi="宋体"/>
                <w:sz w:val="18"/>
                <w:szCs w:val="18"/>
              </w:rPr>
            </w:pPr>
            <w:r>
              <w:rPr>
                <w:rFonts w:ascii="宋体" w:hAnsi="宋体"/>
                <w:sz w:val="18"/>
                <w:szCs w:val="18"/>
              </w:rPr>
              <w:t>bā</w:t>
            </w:r>
          </w:p>
        </w:tc>
        <w:tc>
          <w:tcPr>
            <w:tcW w:w="401" w:type="pct"/>
            <w:vAlign w:val="center"/>
          </w:tcPr>
          <w:p>
            <w:pPr>
              <w:jc w:val="center"/>
              <w:rPr>
                <w:rFonts w:ascii="宋体" w:hAnsi="宋体"/>
                <w:sz w:val="18"/>
                <w:szCs w:val="18"/>
              </w:rPr>
            </w:pPr>
            <w:r>
              <w:rPr>
                <w:rFonts w:ascii="宋体" w:hAnsi="宋体"/>
                <w:sz w:val="18"/>
                <w:szCs w:val="18"/>
              </w:rPr>
              <w:t>jiǔ</w:t>
            </w:r>
          </w:p>
        </w:tc>
        <w:tc>
          <w:tcPr>
            <w:tcW w:w="515" w:type="pct"/>
            <w:vAlign w:val="center"/>
          </w:tcPr>
          <w:p>
            <w:pPr>
              <w:jc w:val="center"/>
              <w:rPr>
                <w:rFonts w:ascii="宋体" w:hAnsi="宋体"/>
                <w:sz w:val="18"/>
                <w:szCs w:val="18"/>
              </w:rPr>
            </w:pPr>
            <w:r>
              <w:rPr>
                <w:rFonts w:ascii="宋体" w:hAnsi="宋体"/>
                <w:sz w:val="18"/>
                <w:szCs w:val="18"/>
              </w:rPr>
              <w:t>líng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401" w:type="pct"/>
            <w:vAlign w:val="center"/>
          </w:tcPr>
          <w:p>
            <w:pPr>
              <w:pStyle w:val="233"/>
              <w:tabs>
                <w:tab w:val="center" w:pos="420"/>
              </w:tabs>
              <w:ind w:firstLine="0" w:firstLineChars="0"/>
              <w:jc w:val="center"/>
              <w:rPr>
                <w:rFonts w:hAnsi="宋体"/>
                <w:sz w:val="18"/>
                <w:szCs w:val="18"/>
              </w:rPr>
            </w:pPr>
            <w:r>
              <w:rPr>
                <w:rFonts w:hint="eastAsia" w:hAnsi="宋体"/>
                <w:sz w:val="18"/>
                <w:szCs w:val="18"/>
              </w:rPr>
              <w:t>汉字</w:t>
            </w:r>
          </w:p>
        </w:tc>
        <w:tc>
          <w:tcPr>
            <w:tcW w:w="509" w:type="pct"/>
            <w:vAlign w:val="center"/>
          </w:tcPr>
          <w:p>
            <w:pPr>
              <w:jc w:val="center"/>
              <w:rPr>
                <w:rFonts w:ascii="宋体" w:hAnsi="宋体"/>
                <w:sz w:val="18"/>
                <w:szCs w:val="18"/>
              </w:rPr>
            </w:pPr>
            <w:r>
              <w:rPr>
                <w:rFonts w:hint="eastAsia" w:ascii="宋体" w:hAnsi="宋体"/>
                <w:sz w:val="18"/>
                <w:szCs w:val="18"/>
              </w:rPr>
              <w:t>幺</w:t>
            </w:r>
          </w:p>
        </w:tc>
        <w:tc>
          <w:tcPr>
            <w:tcW w:w="615" w:type="pct"/>
            <w:vAlign w:val="center"/>
          </w:tcPr>
          <w:p>
            <w:pPr>
              <w:jc w:val="center"/>
              <w:rPr>
                <w:rFonts w:ascii="宋体" w:hAnsi="宋体"/>
                <w:sz w:val="18"/>
                <w:szCs w:val="18"/>
              </w:rPr>
            </w:pPr>
            <w:r>
              <w:rPr>
                <w:rFonts w:ascii="宋体" w:hAnsi="宋体"/>
                <w:sz w:val="18"/>
                <w:szCs w:val="18"/>
              </w:rPr>
              <w:t>两</w:t>
            </w:r>
          </w:p>
        </w:tc>
        <w:tc>
          <w:tcPr>
            <w:tcW w:w="493" w:type="pct"/>
            <w:vAlign w:val="center"/>
          </w:tcPr>
          <w:p>
            <w:pPr>
              <w:jc w:val="center"/>
              <w:rPr>
                <w:rFonts w:ascii="宋体" w:hAnsi="宋体"/>
                <w:sz w:val="18"/>
                <w:szCs w:val="18"/>
              </w:rPr>
            </w:pPr>
            <w:r>
              <w:rPr>
                <w:rFonts w:ascii="宋体" w:hAnsi="宋体"/>
                <w:sz w:val="18"/>
                <w:szCs w:val="18"/>
              </w:rPr>
              <w:t>三</w:t>
            </w:r>
          </w:p>
        </w:tc>
        <w:tc>
          <w:tcPr>
            <w:tcW w:w="401" w:type="pct"/>
            <w:vAlign w:val="center"/>
          </w:tcPr>
          <w:p>
            <w:pPr>
              <w:jc w:val="center"/>
              <w:rPr>
                <w:rFonts w:ascii="宋体" w:hAnsi="宋体"/>
                <w:sz w:val="18"/>
                <w:szCs w:val="18"/>
              </w:rPr>
            </w:pPr>
            <w:r>
              <w:rPr>
                <w:rFonts w:ascii="宋体" w:hAnsi="宋体"/>
                <w:sz w:val="18"/>
                <w:szCs w:val="18"/>
              </w:rPr>
              <w:t>四</w:t>
            </w:r>
          </w:p>
        </w:tc>
        <w:tc>
          <w:tcPr>
            <w:tcW w:w="450" w:type="pct"/>
            <w:vAlign w:val="center"/>
          </w:tcPr>
          <w:p>
            <w:pPr>
              <w:jc w:val="center"/>
              <w:rPr>
                <w:rFonts w:ascii="宋体" w:hAnsi="宋体"/>
                <w:sz w:val="18"/>
                <w:szCs w:val="18"/>
              </w:rPr>
            </w:pPr>
            <w:r>
              <w:rPr>
                <w:rFonts w:ascii="宋体" w:hAnsi="宋体"/>
                <w:sz w:val="18"/>
                <w:szCs w:val="18"/>
              </w:rPr>
              <w:t>五</w:t>
            </w:r>
          </w:p>
        </w:tc>
        <w:tc>
          <w:tcPr>
            <w:tcW w:w="400" w:type="pct"/>
            <w:vAlign w:val="center"/>
          </w:tcPr>
          <w:p>
            <w:pPr>
              <w:jc w:val="center"/>
              <w:rPr>
                <w:rFonts w:ascii="宋体" w:hAnsi="宋体"/>
                <w:sz w:val="18"/>
                <w:szCs w:val="18"/>
              </w:rPr>
            </w:pPr>
            <w:r>
              <w:rPr>
                <w:rFonts w:ascii="宋体" w:hAnsi="宋体"/>
                <w:sz w:val="18"/>
                <w:szCs w:val="18"/>
              </w:rPr>
              <w:t>六</w:t>
            </w:r>
          </w:p>
        </w:tc>
        <w:tc>
          <w:tcPr>
            <w:tcW w:w="400" w:type="pct"/>
            <w:vAlign w:val="center"/>
          </w:tcPr>
          <w:p>
            <w:pPr>
              <w:jc w:val="center"/>
              <w:rPr>
                <w:rFonts w:ascii="宋体" w:hAnsi="宋体"/>
                <w:sz w:val="18"/>
                <w:szCs w:val="18"/>
              </w:rPr>
            </w:pPr>
            <w:r>
              <w:rPr>
                <w:rFonts w:ascii="宋体" w:hAnsi="宋体"/>
                <w:sz w:val="18"/>
                <w:szCs w:val="18"/>
              </w:rPr>
              <w:t>七</w:t>
            </w:r>
          </w:p>
        </w:tc>
        <w:tc>
          <w:tcPr>
            <w:tcW w:w="416" w:type="pct"/>
            <w:vAlign w:val="center"/>
          </w:tcPr>
          <w:p>
            <w:pPr>
              <w:jc w:val="center"/>
              <w:rPr>
                <w:rFonts w:ascii="宋体" w:hAnsi="宋体"/>
                <w:sz w:val="18"/>
                <w:szCs w:val="18"/>
              </w:rPr>
            </w:pPr>
            <w:r>
              <w:rPr>
                <w:rFonts w:ascii="宋体" w:hAnsi="宋体"/>
                <w:sz w:val="18"/>
                <w:szCs w:val="18"/>
              </w:rPr>
              <w:t>八</w:t>
            </w:r>
          </w:p>
        </w:tc>
        <w:tc>
          <w:tcPr>
            <w:tcW w:w="401" w:type="pct"/>
            <w:vAlign w:val="center"/>
          </w:tcPr>
          <w:p>
            <w:pPr>
              <w:jc w:val="center"/>
              <w:rPr>
                <w:rFonts w:ascii="宋体" w:hAnsi="宋体"/>
                <w:sz w:val="18"/>
                <w:szCs w:val="18"/>
              </w:rPr>
            </w:pPr>
            <w:r>
              <w:rPr>
                <w:rFonts w:ascii="宋体" w:hAnsi="宋体"/>
                <w:sz w:val="18"/>
                <w:szCs w:val="18"/>
              </w:rPr>
              <w:t>九</w:t>
            </w:r>
          </w:p>
        </w:tc>
        <w:tc>
          <w:tcPr>
            <w:tcW w:w="515" w:type="pct"/>
            <w:vAlign w:val="center"/>
          </w:tcPr>
          <w:p>
            <w:pPr>
              <w:jc w:val="center"/>
              <w:rPr>
                <w:rFonts w:ascii="宋体" w:hAnsi="宋体"/>
                <w:sz w:val="18"/>
                <w:szCs w:val="18"/>
              </w:rPr>
            </w:pPr>
            <w:r>
              <w:rPr>
                <w:rFonts w:ascii="宋体" w:hAnsi="宋体"/>
                <w:sz w:val="18"/>
                <w:szCs w:val="18"/>
              </w:rPr>
              <w:t>零</w:t>
            </w:r>
          </w:p>
        </w:tc>
      </w:tr>
    </w:tbl>
    <w:p>
      <w:pPr>
        <w:pStyle w:val="107"/>
        <w:spacing w:before="120" w:after="120"/>
        <w:rPr>
          <w:rFonts w:hint="eastAsia" w:hAnsi="Times New Roman" w:cs="Times New Roman"/>
        </w:rPr>
      </w:pPr>
      <w:bookmarkStart w:id="140" w:name="_Toc88567721"/>
      <w:bookmarkStart w:id="141" w:name="_Toc28791"/>
      <w:bookmarkStart w:id="142" w:name="_Toc12510"/>
      <w:r>
        <w:rPr>
          <w:rFonts w:hint="eastAsia" w:hAnsi="Times New Roman" w:cs="Times New Roman"/>
        </w:rPr>
        <w:t>运营前准备</w:t>
      </w:r>
      <w:bookmarkEnd w:id="140"/>
      <w:bookmarkEnd w:id="141"/>
      <w:bookmarkEnd w:id="142"/>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43" w:name="_Toc24516"/>
      <w:r>
        <w:rPr>
          <w:rFonts w:hint="eastAsia" w:ascii="宋体" w:hAnsi="宋体" w:eastAsia="宋体" w:cs="宋体"/>
        </w:rPr>
        <w:t>OCC运营前检查应符合下列规定：</w:t>
      </w:r>
      <w:bookmarkEnd w:id="143"/>
    </w:p>
    <w:p>
      <w:pPr>
        <w:pStyle w:val="176"/>
        <w:numPr>
          <w:ilvl w:val="0"/>
          <w:numId w:val="39"/>
        </w:numPr>
        <w:ind w:left="777" w:leftChars="200" w:hanging="357" w:hangingChars="170"/>
      </w:pPr>
      <w:r>
        <w:rPr>
          <w:rFonts w:hint="eastAsia"/>
        </w:rPr>
        <w:t>加载</w:t>
      </w:r>
      <w:r>
        <w:t>或</w:t>
      </w:r>
      <w:r>
        <w:rPr>
          <w:rFonts w:hint="eastAsia"/>
        </w:rPr>
        <w:t>核对</w:t>
      </w:r>
      <w:r>
        <w:t>当日列车运行</w:t>
      </w:r>
      <w:r>
        <w:rPr>
          <w:rFonts w:hint="eastAsia"/>
          <w:lang w:eastAsia="zh-CN"/>
        </w:rPr>
        <w:t>图</w:t>
      </w:r>
      <w:r>
        <w:t>，检查</w:t>
      </w:r>
      <w:r>
        <w:rPr>
          <w:rFonts w:hint="eastAsia"/>
        </w:rPr>
        <w:t>内容</w:t>
      </w:r>
      <w:r>
        <w:t>无误；</w:t>
      </w:r>
    </w:p>
    <w:p>
      <w:pPr>
        <w:pStyle w:val="176"/>
        <w:numPr>
          <w:ilvl w:val="0"/>
          <w:numId w:val="39"/>
        </w:numPr>
        <w:ind w:left="777" w:leftChars="200" w:hanging="357" w:hangingChars="170"/>
      </w:pPr>
      <w:r>
        <w:rPr>
          <w:rFonts w:hint="eastAsia"/>
        </w:rPr>
        <w:t>与</w:t>
      </w:r>
      <w:r>
        <w:t>车辆检修人员</w:t>
      </w:r>
      <w:r>
        <w:rPr>
          <w:rFonts w:hint="eastAsia"/>
        </w:rPr>
        <w:t>核对</w:t>
      </w:r>
      <w:r>
        <w:t>确认当日运</w:t>
      </w:r>
      <w:r>
        <w:rPr>
          <w:rFonts w:hint="eastAsia"/>
        </w:rPr>
        <w:t>用列车</w:t>
      </w:r>
      <w:r>
        <w:t>的准备情况</w:t>
      </w:r>
      <w:r>
        <w:rPr>
          <w:rFonts w:hint="eastAsia"/>
        </w:rPr>
        <w:t>；</w:t>
      </w:r>
    </w:p>
    <w:p>
      <w:pPr>
        <w:pStyle w:val="176"/>
        <w:numPr>
          <w:ilvl w:val="0"/>
          <w:numId w:val="39"/>
        </w:numPr>
        <w:ind w:left="777" w:leftChars="200" w:hanging="357" w:hangingChars="170"/>
      </w:pPr>
      <w:r>
        <w:rPr>
          <w:rFonts w:hint="eastAsia"/>
        </w:rPr>
        <w:t>供电</w:t>
      </w:r>
      <w:r>
        <w:t>系统、信号系统、通信系统、站台门、</w:t>
      </w:r>
      <w:r>
        <w:rPr>
          <w:rFonts w:hint="eastAsia"/>
        </w:rPr>
        <w:t>综合</w:t>
      </w:r>
      <w:r>
        <w:t>监控系统及线路情况等</w:t>
      </w:r>
      <w:r>
        <w:rPr>
          <w:rFonts w:hint="eastAsia"/>
          <w:lang w:eastAsia="zh-CN"/>
        </w:rPr>
        <w:t>与</w:t>
      </w:r>
      <w:r>
        <w:t>运营有关的</w:t>
      </w:r>
      <w:r>
        <w:rPr>
          <w:rFonts w:hint="eastAsia"/>
        </w:rPr>
        <w:t>设备</w:t>
      </w:r>
      <w:r>
        <w:t>状况良好；</w:t>
      </w:r>
    </w:p>
    <w:p>
      <w:pPr>
        <w:pStyle w:val="176"/>
        <w:numPr>
          <w:ilvl w:val="0"/>
          <w:numId w:val="39"/>
        </w:numPr>
        <w:ind w:left="777" w:leftChars="200" w:hanging="357" w:hangingChars="170"/>
      </w:pPr>
      <w:r>
        <w:rPr>
          <w:rFonts w:hint="eastAsia"/>
        </w:rPr>
        <w:t>调度员</w:t>
      </w:r>
      <w:r>
        <w:t>工作站</w:t>
      </w:r>
      <w:r>
        <w:rPr>
          <w:rFonts w:hint="eastAsia"/>
        </w:rPr>
        <w:t>显示及</w:t>
      </w:r>
      <w:r>
        <w:t>操作正常，所有</w:t>
      </w:r>
      <w:r>
        <w:rPr>
          <w:rFonts w:hint="eastAsia"/>
        </w:rPr>
        <w:t>集中</w:t>
      </w:r>
      <w:r>
        <w:t>控制权</w:t>
      </w:r>
      <w:r>
        <w:rPr>
          <w:rFonts w:hint="eastAsia"/>
        </w:rPr>
        <w:t>处于</w:t>
      </w:r>
      <w:r>
        <w:t>正常状态</w:t>
      </w:r>
      <w:r>
        <w:rPr>
          <w:rFonts w:hint="eastAsia"/>
        </w:rPr>
        <w:t>，</w:t>
      </w:r>
      <w:r>
        <w:t>线路无</w:t>
      </w:r>
      <w:r>
        <w:rPr>
          <w:rFonts w:hint="eastAsia"/>
        </w:rPr>
        <w:t>异常</w:t>
      </w:r>
      <w:r>
        <w:t>占用</w:t>
      </w:r>
      <w:r>
        <w:rPr>
          <w:rFonts w:hint="eastAsia"/>
        </w:rPr>
        <w:t>；</w:t>
      </w:r>
    </w:p>
    <w:p>
      <w:pPr>
        <w:pStyle w:val="176"/>
        <w:numPr>
          <w:ilvl w:val="0"/>
          <w:numId w:val="39"/>
        </w:numPr>
        <w:ind w:left="777" w:leftChars="200" w:hanging="357" w:hangingChars="170"/>
      </w:pPr>
      <w:r>
        <w:rPr>
          <w:rFonts w:hint="eastAsia"/>
        </w:rPr>
        <w:t>组织</w:t>
      </w:r>
      <w:r>
        <w:t>确认</w:t>
      </w:r>
      <w:r>
        <w:rPr>
          <w:rFonts w:hint="eastAsia"/>
        </w:rPr>
        <w:t>正线及</w:t>
      </w:r>
      <w:r>
        <w:rPr>
          <w:rFonts w:hint="eastAsia"/>
          <w:lang w:eastAsia="zh-CN"/>
        </w:rPr>
        <w:t>综合</w:t>
      </w:r>
      <w:r>
        <w:t>车场</w:t>
      </w:r>
      <w:r>
        <w:rPr>
          <w:rFonts w:hint="eastAsia"/>
        </w:rPr>
        <w:t>轨行区</w:t>
      </w:r>
      <w:r>
        <w:t>的</w:t>
      </w:r>
      <w:r>
        <w:rPr>
          <w:rFonts w:hint="eastAsia"/>
        </w:rPr>
        <w:t>施工</w:t>
      </w:r>
      <w:r>
        <w:t>已全部</w:t>
      </w:r>
      <w:r>
        <w:rPr>
          <w:rFonts w:hint="eastAsia"/>
        </w:rPr>
        <w:t>销点</w:t>
      </w:r>
      <w:r>
        <w:t>。</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44" w:name="_Toc24951"/>
      <w:r>
        <w:rPr>
          <w:rFonts w:hint="eastAsia" w:ascii="宋体" w:hAnsi="宋体" w:eastAsia="宋体" w:cs="宋体"/>
        </w:rPr>
        <w:t>运营前列车</w:t>
      </w:r>
      <w:r>
        <w:rPr>
          <w:rFonts w:hint="eastAsia" w:ascii="宋体" w:hAnsi="宋体" w:eastAsia="宋体" w:cs="宋体"/>
          <w:lang w:eastAsia="zh-CN"/>
        </w:rPr>
        <w:t>轧道</w:t>
      </w:r>
      <w:r>
        <w:rPr>
          <w:rFonts w:hint="eastAsia" w:ascii="宋体" w:hAnsi="宋体" w:eastAsia="宋体" w:cs="宋体"/>
        </w:rPr>
        <w:t>应符合下列规定：</w:t>
      </w:r>
      <w:bookmarkEnd w:id="144"/>
    </w:p>
    <w:p>
      <w:pPr>
        <w:pStyle w:val="176"/>
        <w:numPr>
          <w:ilvl w:val="0"/>
          <w:numId w:val="40"/>
        </w:numPr>
        <w:ind w:left="777" w:leftChars="200" w:hanging="357" w:hangingChars="170"/>
      </w:pPr>
      <w:r>
        <w:rPr>
          <w:rFonts w:hint="eastAsia"/>
          <w:highlight w:val="none"/>
        </w:rPr>
        <w:t>每日运营</w:t>
      </w:r>
      <w:r>
        <w:rPr>
          <w:highlight w:val="none"/>
        </w:rPr>
        <w:t>前组织</w:t>
      </w:r>
      <w:r>
        <w:rPr>
          <w:rFonts w:hint="eastAsia"/>
        </w:rPr>
        <w:t>空驶</w:t>
      </w:r>
      <w:r>
        <w:t>列车</w:t>
      </w:r>
      <w:r>
        <w:rPr>
          <w:rFonts w:hint="eastAsia"/>
          <w:lang w:eastAsia="zh-CN"/>
        </w:rPr>
        <w:t>轧道</w:t>
      </w:r>
      <w:r>
        <w:rPr>
          <w:rFonts w:hint="eastAsia"/>
        </w:rPr>
        <w:t>确认</w:t>
      </w:r>
      <w:r>
        <w:t>线路安全</w:t>
      </w:r>
      <w:r>
        <w:rPr>
          <w:rFonts w:hint="eastAsia"/>
        </w:rPr>
        <w:t>；</w:t>
      </w:r>
    </w:p>
    <w:p>
      <w:pPr>
        <w:pStyle w:val="176"/>
        <w:numPr>
          <w:ilvl w:val="0"/>
          <w:numId w:val="40"/>
        </w:numPr>
        <w:ind w:left="777" w:leftChars="200" w:hanging="357" w:hangingChars="170"/>
        <w:rPr>
          <w:highlight w:val="none"/>
        </w:rPr>
      </w:pPr>
      <w:r>
        <w:rPr>
          <w:rFonts w:hint="eastAsia"/>
          <w:highlight w:val="none"/>
          <w:lang w:eastAsia="zh-CN"/>
        </w:rPr>
        <w:t>轧道</w:t>
      </w:r>
      <w:r>
        <w:rPr>
          <w:highlight w:val="none"/>
        </w:rPr>
        <w:t>车</w:t>
      </w:r>
      <w:r>
        <w:rPr>
          <w:rFonts w:hint="eastAsia"/>
          <w:highlight w:val="none"/>
        </w:rPr>
        <w:t>应</w:t>
      </w:r>
      <w:r>
        <w:rPr>
          <w:highlight w:val="none"/>
        </w:rPr>
        <w:t>采用</w:t>
      </w:r>
      <w:r>
        <w:rPr>
          <w:rFonts w:hint="eastAsia"/>
          <w:highlight w:val="none"/>
        </w:rPr>
        <w:t>人工</w:t>
      </w:r>
      <w:r>
        <w:rPr>
          <w:highlight w:val="none"/>
        </w:rPr>
        <w:t>驾驶模式</w:t>
      </w:r>
      <w:r>
        <w:rPr>
          <w:rFonts w:hint="eastAsia"/>
          <w:highlight w:val="none"/>
        </w:rPr>
        <w:t>按</w:t>
      </w:r>
      <w:r>
        <w:rPr>
          <w:highlight w:val="none"/>
        </w:rPr>
        <w:t>规定限速运行</w:t>
      </w:r>
      <w:r>
        <w:rPr>
          <w:rFonts w:hint="eastAsia"/>
          <w:highlight w:val="none"/>
        </w:rPr>
        <w:t>。</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45" w:name="_Toc30751"/>
      <w:r>
        <w:rPr>
          <w:rFonts w:hint="eastAsia" w:ascii="宋体" w:hAnsi="宋体" w:eastAsia="宋体" w:cs="宋体"/>
        </w:rPr>
        <w:t>运营人员到岗</w:t>
      </w:r>
      <w:bookmarkEnd w:id="145"/>
      <w:r>
        <w:rPr>
          <w:rFonts w:hint="eastAsia" w:ascii="宋体" w:hAnsi="宋体" w:eastAsia="宋体" w:cs="宋体"/>
        </w:rPr>
        <w:t>应符合下列规定：</w:t>
      </w:r>
    </w:p>
    <w:p>
      <w:pPr>
        <w:pStyle w:val="176"/>
        <w:numPr>
          <w:ilvl w:val="0"/>
          <w:numId w:val="41"/>
        </w:numPr>
        <w:ind w:left="777" w:leftChars="200" w:hanging="357" w:hangingChars="170"/>
      </w:pPr>
      <w:r>
        <w:rPr>
          <w:rFonts w:hint="eastAsia"/>
        </w:rPr>
        <w:t>每日</w:t>
      </w:r>
      <w:r>
        <w:t>运营前各岗位人员应</w:t>
      </w:r>
      <w:r>
        <w:rPr>
          <w:rFonts w:hint="eastAsia"/>
        </w:rPr>
        <w:t>按</w:t>
      </w:r>
      <w:r>
        <w:t>规定着</w:t>
      </w:r>
      <w:r>
        <w:rPr>
          <w:rFonts w:hint="eastAsia"/>
        </w:rPr>
        <w:t>装</w:t>
      </w:r>
      <w:r>
        <w:t>，按时到岗开展工作</w:t>
      </w:r>
      <w:r>
        <w:rPr>
          <w:rFonts w:hint="eastAsia"/>
        </w:rPr>
        <w:t>；</w:t>
      </w:r>
    </w:p>
    <w:p>
      <w:pPr>
        <w:pStyle w:val="176"/>
        <w:numPr>
          <w:ilvl w:val="0"/>
          <w:numId w:val="41"/>
        </w:numPr>
        <w:ind w:left="777" w:leftChars="200" w:hanging="357" w:hangingChars="170"/>
      </w:pPr>
      <w:r>
        <w:rPr>
          <w:rFonts w:hint="eastAsia"/>
        </w:rPr>
        <w:t>上岗前</w:t>
      </w:r>
      <w:r>
        <w:t>应</w:t>
      </w:r>
      <w:r>
        <w:rPr>
          <w:rFonts w:hint="eastAsia"/>
        </w:rPr>
        <w:t>确认</w:t>
      </w:r>
      <w:r>
        <w:t>各岗位</w:t>
      </w:r>
      <w:r>
        <w:rPr>
          <w:rFonts w:hint="eastAsia"/>
        </w:rPr>
        <w:t>人员</w:t>
      </w:r>
      <w:r>
        <w:t>精神状态</w:t>
      </w:r>
      <w:r>
        <w:rPr>
          <w:rFonts w:hint="eastAsia"/>
        </w:rPr>
        <w:t>。</w:t>
      </w:r>
    </w:p>
    <w:p>
      <w:pPr>
        <w:pStyle w:val="107"/>
        <w:spacing w:before="120" w:after="120"/>
        <w:rPr>
          <w:rFonts w:hint="eastAsia" w:hAnsi="Times New Roman" w:cs="Times New Roman"/>
        </w:rPr>
      </w:pPr>
      <w:bookmarkStart w:id="146" w:name="_Toc31650"/>
      <w:bookmarkStart w:id="147" w:name="_Toc88567722"/>
      <w:bookmarkStart w:id="148" w:name="_Toc19476"/>
      <w:r>
        <w:rPr>
          <w:rFonts w:hint="eastAsia" w:hAnsi="Times New Roman" w:cs="Times New Roman"/>
        </w:rPr>
        <w:t>运营期间</w:t>
      </w:r>
      <w:bookmarkEnd w:id="146"/>
      <w:bookmarkEnd w:id="147"/>
      <w:bookmarkEnd w:id="148"/>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49" w:name="_Toc1758"/>
      <w:r>
        <w:rPr>
          <w:rFonts w:hint="eastAsia" w:ascii="宋体" w:hAnsi="宋体" w:eastAsia="宋体" w:cs="宋体"/>
        </w:rPr>
        <w:t>行车调度</w:t>
      </w:r>
      <w:r>
        <w:rPr>
          <w:rFonts w:hint="eastAsia" w:ascii="宋体" w:hAnsi="宋体" w:eastAsia="宋体" w:cs="宋体"/>
          <w:lang w:eastAsia="zh-CN"/>
        </w:rPr>
        <w:t>员</w:t>
      </w:r>
      <w:r>
        <w:rPr>
          <w:rFonts w:hint="eastAsia" w:ascii="宋体" w:hAnsi="宋体" w:eastAsia="宋体" w:cs="宋体"/>
        </w:rPr>
        <w:t>应按列车运行图组织行车，并根据运营需要适时采取有效措施调整列车运行秩序。</w:t>
      </w:r>
      <w:bookmarkEnd w:id="149"/>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50" w:name="_Toc30514"/>
      <w:r>
        <w:rPr>
          <w:rFonts w:hint="eastAsia" w:ascii="宋体" w:hAnsi="宋体" w:eastAsia="宋体" w:cs="宋体"/>
        </w:rPr>
        <w:t>调度人员应密切注意列车运行情况、告警信息、驾驶模式、设备状态、乘客乘降等信息，并通过综合监控系统辅助进行确认，如发生紧急情况立即处理，防止</w:t>
      </w:r>
      <w:r>
        <w:rPr>
          <w:rFonts w:hint="eastAsia" w:ascii="宋体" w:hAnsi="宋体" w:eastAsia="宋体" w:cs="宋体"/>
          <w:lang w:eastAsia="zh-CN"/>
        </w:rPr>
        <w:t>发生</w:t>
      </w:r>
      <w:r>
        <w:rPr>
          <w:rFonts w:hint="eastAsia" w:ascii="宋体" w:hAnsi="宋体" w:eastAsia="宋体" w:cs="宋体"/>
        </w:rPr>
        <w:t>列车运行事故。</w:t>
      </w:r>
      <w:bookmarkEnd w:id="150"/>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51" w:name="_Toc13836"/>
      <w:r>
        <w:rPr>
          <w:rFonts w:hint="eastAsia" w:ascii="宋体" w:hAnsi="宋体" w:eastAsia="宋体" w:cs="宋体"/>
        </w:rPr>
        <w:t>行车调度</w:t>
      </w:r>
      <w:r>
        <w:rPr>
          <w:rFonts w:hint="eastAsia" w:ascii="宋体" w:hAnsi="宋体" w:eastAsia="宋体" w:cs="宋体"/>
          <w:lang w:eastAsia="zh-CN"/>
        </w:rPr>
        <w:t>员</w:t>
      </w:r>
      <w:r>
        <w:rPr>
          <w:rFonts w:hint="eastAsia" w:ascii="宋体" w:hAnsi="宋体" w:eastAsia="宋体" w:cs="宋体"/>
        </w:rPr>
        <w:t>应以确保乘客及行车的安全为原则，高效、有序组织行车，确保各项行车指标的达成。</w:t>
      </w:r>
      <w:bookmarkEnd w:id="151"/>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52" w:name="_Toc13359"/>
      <w:r>
        <w:rPr>
          <w:rFonts w:hint="eastAsia" w:ascii="宋体" w:hAnsi="宋体" w:eastAsia="宋体" w:cs="宋体"/>
        </w:rPr>
        <w:t>遇列车无故停车、列车故障或其他原因需临时停车，调度员应通过广播等做好乘客解释工作，司乘人员做好现场乘客安抚工作；车站临时停车时间较长的，应保持车门和站台门打开并做好解释。</w:t>
      </w:r>
      <w:bookmarkEnd w:id="152"/>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53" w:name="_Toc2851"/>
      <w:r>
        <w:rPr>
          <w:rFonts w:hint="eastAsia" w:ascii="宋体" w:hAnsi="宋体" w:eastAsia="宋体" w:cs="宋体"/>
        </w:rPr>
        <w:t>司乘人员</w:t>
      </w:r>
      <w:r>
        <w:rPr>
          <w:rFonts w:hint="eastAsia" w:ascii="宋体" w:hAnsi="宋体" w:eastAsia="宋体" w:cs="宋体"/>
          <w:lang w:eastAsia="zh-CN"/>
        </w:rPr>
        <w:t>应</w:t>
      </w:r>
      <w:r>
        <w:rPr>
          <w:rFonts w:hint="eastAsia" w:ascii="宋体" w:hAnsi="宋体" w:eastAsia="宋体" w:cs="宋体"/>
        </w:rPr>
        <w:t>按相关规定对线路及车站进行巡视，遇列车行车调整，根据调度指令迅速赶往现场进行处理。</w:t>
      </w:r>
      <w:bookmarkEnd w:id="153"/>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54" w:name="_Toc19941"/>
      <w:r>
        <w:rPr>
          <w:rFonts w:hint="eastAsia" w:ascii="宋体" w:hAnsi="宋体" w:eastAsia="宋体" w:cs="宋体"/>
        </w:rPr>
        <w:t>司乘人员在巡视过程中发现危及行车安全的突发情况，立即按压紧急停车按钮并报告行车调度员。</w:t>
      </w:r>
      <w:bookmarkEnd w:id="154"/>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55" w:name="_Toc15282"/>
      <w:r>
        <w:rPr>
          <w:rFonts w:hint="eastAsia" w:ascii="宋体" w:hAnsi="宋体" w:eastAsia="宋体" w:cs="宋体"/>
        </w:rPr>
        <w:t>运营列车上线替换列车回库充电，以“先上后下”的原则组织行车，确保正线行车秩序正常。</w:t>
      </w:r>
      <w:bookmarkEnd w:id="155"/>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56" w:name="_Toc26941"/>
      <w:r>
        <w:rPr>
          <w:rFonts w:hint="eastAsia" w:ascii="宋体" w:hAnsi="宋体" w:eastAsia="宋体" w:cs="宋体"/>
        </w:rPr>
        <w:t>根据线路客流潮汐情况，密切监控</w:t>
      </w:r>
      <w:r>
        <w:rPr>
          <w:rFonts w:hint="eastAsia" w:ascii="宋体" w:hAnsi="宋体" w:eastAsia="宋体" w:cs="宋体"/>
          <w:lang w:eastAsia="zh-CN"/>
        </w:rPr>
        <w:t>车</w:t>
      </w:r>
      <w:r>
        <w:rPr>
          <w:rFonts w:hint="eastAsia" w:ascii="宋体" w:hAnsi="宋体" w:eastAsia="宋体" w:cs="宋体"/>
        </w:rPr>
        <w:t>站的客流情况，调度人员适时做好行车调整及设备监控，司乘人员做好大客流车站现场引导及列车巡视，其他运营岗位</w:t>
      </w:r>
      <w:r>
        <w:rPr>
          <w:rFonts w:hint="eastAsia" w:ascii="宋体" w:hAnsi="宋体" w:eastAsia="宋体" w:cs="宋体"/>
          <w:lang w:eastAsia="zh-CN"/>
        </w:rPr>
        <w:t>人员</w:t>
      </w:r>
      <w:r>
        <w:rPr>
          <w:rFonts w:hint="eastAsia" w:ascii="宋体" w:hAnsi="宋体" w:eastAsia="宋体" w:cs="宋体"/>
        </w:rPr>
        <w:t>根据调度指令配合支援，确保运营秩序正常。</w:t>
      </w:r>
      <w:bookmarkEnd w:id="156"/>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57" w:name="_Toc28724"/>
      <w:r>
        <w:rPr>
          <w:rFonts w:hint="eastAsia" w:ascii="宋体" w:hAnsi="宋体" w:eastAsia="宋体" w:cs="宋体"/>
        </w:rPr>
        <w:t>运营期间，运营各岗位应密切沟通，紧密联动，及时反馈现场信息。</w:t>
      </w:r>
      <w:bookmarkEnd w:id="157"/>
    </w:p>
    <w:p>
      <w:pPr>
        <w:pStyle w:val="107"/>
        <w:spacing w:before="120" w:after="120"/>
        <w:rPr>
          <w:rFonts w:hint="eastAsia" w:hAnsi="Times New Roman" w:cs="Times New Roman"/>
        </w:rPr>
      </w:pPr>
      <w:bookmarkStart w:id="158" w:name="_Toc9062"/>
      <w:bookmarkStart w:id="159" w:name="_Toc88567723"/>
      <w:bookmarkStart w:id="160" w:name="_Toc3893"/>
      <w:r>
        <w:rPr>
          <w:rFonts w:hint="eastAsia" w:hAnsi="Times New Roman" w:cs="Times New Roman"/>
        </w:rPr>
        <w:t>运营结束</w:t>
      </w:r>
      <w:bookmarkEnd w:id="158"/>
      <w:bookmarkEnd w:id="159"/>
      <w:bookmarkEnd w:id="160"/>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61" w:name="_Toc11891"/>
      <w:r>
        <w:rPr>
          <w:rFonts w:hint="eastAsia" w:ascii="宋体" w:hAnsi="宋体" w:eastAsia="宋体" w:cs="宋体"/>
        </w:rPr>
        <w:t>运营结束前，应提前广播告知乘客，列车</w:t>
      </w:r>
      <w:r>
        <w:rPr>
          <w:rFonts w:hint="eastAsia" w:ascii="宋体" w:hAnsi="宋体" w:eastAsia="宋体" w:cs="宋体"/>
          <w:lang w:eastAsia="zh-CN"/>
        </w:rPr>
        <w:t>在</w:t>
      </w:r>
      <w:r>
        <w:rPr>
          <w:rFonts w:hint="eastAsia" w:ascii="宋体" w:hAnsi="宋体" w:eastAsia="宋体" w:cs="宋体"/>
        </w:rPr>
        <w:t>终点站清客后方可组织回场。</w:t>
      </w:r>
      <w:bookmarkEnd w:id="161"/>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62" w:name="_Toc21543"/>
      <w:r>
        <w:rPr>
          <w:rFonts w:hint="eastAsia" w:ascii="宋体" w:hAnsi="宋体" w:eastAsia="宋体" w:cs="宋体"/>
        </w:rPr>
        <w:t>行车调度员应根据列车运行图组织列车退出服务，运营结束后应做好当日行车记录和相关统计分析工作。</w:t>
      </w:r>
      <w:bookmarkEnd w:id="162"/>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63" w:name="_Toc12335"/>
      <w:r>
        <w:rPr>
          <w:rFonts w:hint="eastAsia" w:ascii="宋体" w:hAnsi="宋体" w:eastAsia="宋体" w:cs="宋体"/>
        </w:rPr>
        <w:t>运营结束后，应及时关闭客运服务设备；封闭式车站应确认车站无乘客滞留后及时关闭出入口。</w:t>
      </w:r>
      <w:bookmarkEnd w:id="163"/>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64" w:name="_Toc28256"/>
      <w:r>
        <w:rPr>
          <w:rFonts w:hint="eastAsia" w:ascii="宋体" w:hAnsi="宋体" w:eastAsia="宋体" w:cs="宋体"/>
        </w:rPr>
        <w:t>调度人员根据施工计划组织开展施工作业，按施工计划要求组织工程车或调试列车运行。</w:t>
      </w:r>
      <w:bookmarkEnd w:id="164"/>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r>
        <w:rPr>
          <w:rFonts w:hint="eastAsia" w:ascii="宋体" w:hAnsi="宋体" w:eastAsia="宋体" w:cs="宋体"/>
        </w:rPr>
        <w:t>列车返回综合车场后，对列车进行休眠、清洁、充电等工作。</w:t>
      </w:r>
    </w:p>
    <w:p>
      <w:pPr>
        <w:pStyle w:val="107"/>
        <w:spacing w:before="120" w:after="120"/>
        <w:rPr>
          <w:rFonts w:hint="eastAsia" w:hAnsi="Times New Roman" w:cs="Times New Roman"/>
        </w:rPr>
      </w:pPr>
      <w:bookmarkStart w:id="165" w:name="_Toc88567724"/>
      <w:bookmarkStart w:id="166" w:name="_Toc24127"/>
      <w:bookmarkStart w:id="167" w:name="_Toc16637"/>
      <w:r>
        <w:rPr>
          <w:rFonts w:hint="eastAsia" w:hAnsi="Times New Roman" w:cs="Times New Roman"/>
        </w:rPr>
        <w:t>列车巡视</w:t>
      </w:r>
      <w:bookmarkEnd w:id="165"/>
      <w:bookmarkEnd w:id="166"/>
      <w:bookmarkEnd w:id="167"/>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r>
        <w:rPr>
          <w:rFonts w:hint="eastAsia" w:ascii="宋体" w:hAnsi="宋体" w:eastAsia="宋体" w:cs="宋体"/>
        </w:rPr>
        <w:t>正线采用全自动运行模式，司乘人员</w:t>
      </w:r>
      <w:r>
        <w:rPr>
          <w:rFonts w:hint="eastAsia" w:ascii="宋体" w:hAnsi="宋体" w:eastAsia="宋体" w:cs="宋体"/>
          <w:lang w:eastAsia="zh-CN"/>
        </w:rPr>
        <w:t>按</w:t>
      </w:r>
      <w:r>
        <w:rPr>
          <w:rFonts w:hint="eastAsia" w:ascii="宋体" w:hAnsi="宋体" w:eastAsia="宋体" w:cs="宋体"/>
        </w:rPr>
        <w:t>规定进行列车巡视。</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68" w:name="_Toc7283"/>
      <w:r>
        <w:rPr>
          <w:rFonts w:hint="eastAsia" w:ascii="宋体" w:hAnsi="宋体" w:eastAsia="宋体" w:cs="宋体"/>
        </w:rPr>
        <w:t>司乘人员巡视期间，应符合下列规定：</w:t>
      </w:r>
      <w:bookmarkEnd w:id="168"/>
    </w:p>
    <w:p>
      <w:pPr>
        <w:pStyle w:val="176"/>
        <w:numPr>
          <w:ilvl w:val="0"/>
          <w:numId w:val="42"/>
        </w:numPr>
        <w:ind w:left="777" w:leftChars="200" w:hanging="357" w:hangingChars="170"/>
      </w:pPr>
      <w:r>
        <w:rPr>
          <w:rFonts w:hint="eastAsia"/>
        </w:rPr>
        <w:t>注意观察列车运行情况、报警信息、乘客秩序，突发情况及时人工介入处理；</w:t>
      </w:r>
    </w:p>
    <w:p>
      <w:pPr>
        <w:pStyle w:val="176"/>
        <w:numPr>
          <w:ilvl w:val="0"/>
          <w:numId w:val="42"/>
        </w:numPr>
        <w:ind w:left="777" w:leftChars="200" w:hanging="357" w:hangingChars="170"/>
      </w:pPr>
      <w:r>
        <w:rPr>
          <w:rFonts w:hint="eastAsia"/>
        </w:rPr>
        <w:t>列车在站停车开关门时，监控乘客乘降作业；</w:t>
      </w:r>
    </w:p>
    <w:p>
      <w:pPr>
        <w:pStyle w:val="176"/>
        <w:numPr>
          <w:ilvl w:val="0"/>
          <w:numId w:val="42"/>
        </w:numPr>
        <w:ind w:left="777" w:leftChars="200" w:hanging="357" w:hangingChars="170"/>
      </w:pPr>
      <w:r>
        <w:rPr>
          <w:rFonts w:hint="eastAsia"/>
        </w:rPr>
        <w:t>需要转换为人工驾驶时，按地面信号显示或行车调度命令行车，遇相关故障及突发事件等情况按相关预案处理。</w:t>
      </w:r>
    </w:p>
    <w:p>
      <w:pPr>
        <w:pStyle w:val="107"/>
        <w:spacing w:before="120" w:after="120"/>
        <w:rPr>
          <w:rFonts w:hint="eastAsia" w:hAnsi="Times New Roman" w:cs="Times New Roman"/>
        </w:rPr>
      </w:pPr>
      <w:bookmarkStart w:id="169" w:name="_Toc28974"/>
      <w:bookmarkStart w:id="170" w:name="_Toc6017"/>
      <w:bookmarkStart w:id="171" w:name="_Toc88567725"/>
      <w:r>
        <w:rPr>
          <w:rFonts w:hint="eastAsia" w:hAnsi="Times New Roman" w:cs="Times New Roman"/>
        </w:rPr>
        <w:t>车站巡视</w:t>
      </w:r>
      <w:bookmarkEnd w:id="169"/>
      <w:bookmarkEnd w:id="170"/>
      <w:bookmarkEnd w:id="171"/>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72" w:name="_Toc10008"/>
      <w:r>
        <w:rPr>
          <w:rFonts w:hint="eastAsia" w:ascii="宋体" w:hAnsi="宋体" w:eastAsia="宋体" w:cs="宋体"/>
        </w:rPr>
        <w:t>站线范围内发生危及列车行车安全事件</w:t>
      </w:r>
      <w:r>
        <w:rPr>
          <w:rFonts w:hint="eastAsia" w:ascii="宋体" w:hAnsi="宋体" w:eastAsia="宋体" w:cs="宋体"/>
          <w:lang w:eastAsia="zh-CN"/>
        </w:rPr>
        <w:t>时</w:t>
      </w:r>
      <w:r>
        <w:rPr>
          <w:rFonts w:hint="eastAsia" w:ascii="宋体" w:hAnsi="宋体" w:eastAsia="宋体" w:cs="宋体"/>
        </w:rPr>
        <w:t>，司乘人员立即按压车站紧急停车按钮。</w:t>
      </w:r>
      <w:bookmarkEnd w:id="172"/>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73" w:name="_Toc22134"/>
      <w:r>
        <w:rPr>
          <w:rFonts w:hint="eastAsia" w:ascii="宋体" w:hAnsi="宋体" w:eastAsia="宋体" w:cs="宋体"/>
        </w:rPr>
        <w:t>发现列车停站时分超过规定时间，司乘人员应向行车调度</w:t>
      </w:r>
      <w:r>
        <w:rPr>
          <w:rFonts w:hint="eastAsia" w:ascii="宋体" w:hAnsi="宋体" w:eastAsia="宋体" w:cs="宋体"/>
          <w:lang w:eastAsia="zh-CN"/>
        </w:rPr>
        <w:t>员</w:t>
      </w:r>
      <w:r>
        <w:rPr>
          <w:rFonts w:hint="eastAsia" w:ascii="宋体" w:hAnsi="宋体" w:eastAsia="宋体" w:cs="宋体"/>
        </w:rPr>
        <w:t>报告。</w:t>
      </w:r>
      <w:bookmarkEnd w:id="173"/>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74" w:name="_Toc19645"/>
      <w:r>
        <w:rPr>
          <w:rFonts w:hint="eastAsia" w:ascii="宋体" w:hAnsi="宋体" w:eastAsia="宋体" w:cs="宋体"/>
        </w:rPr>
        <w:t>信号系统出现故障需人工准备进路时，司乘人员根据行车调度员指令组织人工准备进路。</w:t>
      </w:r>
      <w:bookmarkEnd w:id="174"/>
    </w:p>
    <w:p>
      <w:pPr>
        <w:pStyle w:val="107"/>
        <w:spacing w:before="120" w:after="120"/>
        <w:rPr>
          <w:rFonts w:hint="eastAsia" w:hAnsi="Times New Roman" w:cs="Times New Roman"/>
        </w:rPr>
      </w:pPr>
      <w:bookmarkStart w:id="175" w:name="_Toc13749"/>
      <w:bookmarkStart w:id="176" w:name="_Toc31822"/>
      <w:bookmarkStart w:id="177" w:name="_Toc88567726"/>
      <w:r>
        <w:rPr>
          <w:rFonts w:hint="eastAsia" w:hAnsi="Times New Roman" w:cs="Times New Roman"/>
          <w:lang w:eastAsia="zh-CN"/>
        </w:rPr>
        <w:t>综合</w:t>
      </w:r>
      <w:r>
        <w:rPr>
          <w:rFonts w:hint="eastAsia" w:hAnsi="Times New Roman" w:cs="Times New Roman"/>
        </w:rPr>
        <w:t>车场行车组织</w:t>
      </w:r>
      <w:bookmarkEnd w:id="175"/>
      <w:bookmarkEnd w:id="176"/>
      <w:bookmarkEnd w:id="177"/>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78" w:name="_Toc19610"/>
      <w:r>
        <w:rPr>
          <w:rFonts w:hint="eastAsia" w:ascii="宋体" w:hAnsi="宋体" w:eastAsia="宋体" w:cs="宋体"/>
        </w:rPr>
        <w:t>综合车场应按列车运行计划优先组织收发车作业，提前停止影响收发车进路的调车和检修施工作业；</w:t>
      </w:r>
      <w:bookmarkEnd w:id="178"/>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79" w:name="_Toc13042"/>
      <w:r>
        <w:rPr>
          <w:rFonts w:hint="eastAsia" w:ascii="宋体" w:hAnsi="宋体" w:eastAsia="宋体" w:cs="宋体"/>
        </w:rPr>
        <w:t>综合车场收发车应灵活运用股道，做到正点发车，不间断接车，减少调车作业。</w:t>
      </w:r>
      <w:bookmarkEnd w:id="179"/>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80" w:name="_Toc23939"/>
      <w:r>
        <w:rPr>
          <w:rFonts w:hint="eastAsia" w:ascii="宋体" w:hAnsi="宋体" w:eastAsia="宋体" w:cs="宋体"/>
        </w:rPr>
        <w:t>综合车场全自动运行区域调车作业采用全自动运行模式组织列车调车作业。</w:t>
      </w:r>
      <w:bookmarkEnd w:id="180"/>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81" w:name="_Toc26871"/>
      <w:r>
        <w:rPr>
          <w:rFonts w:hint="eastAsia" w:ascii="宋体" w:hAnsi="宋体" w:eastAsia="宋体" w:cs="宋体"/>
        </w:rPr>
        <w:t>综合车场收发车作业应采用全自动运行模式，列车根据列车运行计划进行唤醒、自检、收发车等。</w:t>
      </w:r>
      <w:bookmarkEnd w:id="181"/>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82" w:name="_Toc31061"/>
      <w:r>
        <w:rPr>
          <w:rFonts w:hint="eastAsia" w:ascii="宋体" w:hAnsi="宋体" w:eastAsia="宋体" w:cs="宋体"/>
        </w:rPr>
        <w:t>行车调度员应按发车计划提前安排运用车，确认列车符合上线标准，并停放在全自动运行区域，做好随时发车准备。</w:t>
      </w:r>
      <w:bookmarkEnd w:id="182"/>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r>
        <w:rPr>
          <w:rFonts w:hint="eastAsia" w:ascii="宋体" w:hAnsi="宋体" w:eastAsia="宋体" w:cs="宋体"/>
        </w:rPr>
        <w:t>综合车场涉及非全自动运行区域的调车作业采用人工驾驶模式调车。</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83" w:name="_Toc30965"/>
      <w:r>
        <w:rPr>
          <w:rFonts w:hint="eastAsia" w:ascii="宋体" w:hAnsi="宋体" w:eastAsia="宋体" w:cs="宋体"/>
        </w:rPr>
        <w:t>非全自动运行区域向全自动运行区域调车，列车应在转换区升级为全自动运行模式后，运行至全自动运行区域。</w:t>
      </w:r>
      <w:bookmarkEnd w:id="183"/>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84" w:name="_Toc27574"/>
      <w:r>
        <w:rPr>
          <w:rFonts w:hint="eastAsia" w:ascii="宋体" w:hAnsi="宋体" w:eastAsia="宋体" w:cs="宋体"/>
        </w:rPr>
        <w:t>采用人工方式进行调车作业时，不得在车场道岔、咽喉区擅自停车。</w:t>
      </w:r>
      <w:bookmarkEnd w:id="184"/>
    </w:p>
    <w:p>
      <w:pPr>
        <w:pStyle w:val="106"/>
        <w:spacing w:before="240" w:after="240"/>
        <w:rPr>
          <w:rFonts w:hint="eastAsia"/>
          <w:lang w:val="en-US" w:eastAsia="zh-CN"/>
        </w:rPr>
      </w:pPr>
      <w:bookmarkStart w:id="185" w:name="_Toc88567727"/>
      <w:bookmarkStart w:id="186" w:name="_Toc11542"/>
      <w:bookmarkStart w:id="187" w:name="_Toc19153"/>
      <w:r>
        <w:rPr>
          <w:rFonts w:hint="eastAsia"/>
          <w:lang w:val="en-US" w:eastAsia="zh-CN"/>
        </w:rPr>
        <w:t>非正常情况下的行车组织</w:t>
      </w:r>
      <w:bookmarkEnd w:id="185"/>
      <w:bookmarkEnd w:id="186"/>
      <w:bookmarkEnd w:id="187"/>
    </w:p>
    <w:p>
      <w:pPr>
        <w:pStyle w:val="107"/>
        <w:spacing w:before="120" w:after="120"/>
        <w:rPr>
          <w:rFonts w:hint="eastAsia" w:hAnsi="Times New Roman" w:cs="Times New Roman"/>
        </w:rPr>
      </w:pPr>
      <w:bookmarkStart w:id="188" w:name="_Toc23223"/>
      <w:bookmarkStart w:id="189" w:name="_Toc88567728"/>
      <w:bookmarkStart w:id="190" w:name="_Toc29309"/>
      <w:r>
        <w:rPr>
          <w:rFonts w:hint="eastAsia" w:hAnsi="Times New Roman" w:cs="Times New Roman"/>
        </w:rPr>
        <w:t>一般要求</w:t>
      </w:r>
      <w:bookmarkEnd w:id="188"/>
      <w:bookmarkEnd w:id="189"/>
      <w:bookmarkEnd w:id="190"/>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91" w:name="_Toc16993"/>
      <w:r>
        <w:rPr>
          <w:rFonts w:hint="eastAsia" w:ascii="宋体" w:hAnsi="宋体" w:eastAsia="宋体" w:cs="宋体"/>
        </w:rPr>
        <w:t>运营单位应按照统一指挥、逐级负责、快速反应、协调联动的原则，明确非正常情况下的行车组织原则及要求。</w:t>
      </w:r>
      <w:bookmarkEnd w:id="191"/>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92" w:name="_Toc31833"/>
      <w:r>
        <w:rPr>
          <w:rFonts w:hint="eastAsia" w:ascii="宋体" w:hAnsi="宋体" w:eastAsia="宋体" w:cs="宋体"/>
        </w:rPr>
        <w:t>运营单位应制定非正常情况下行车相关岗位的操作流程和行车安全注意事项。</w:t>
      </w:r>
      <w:bookmarkEnd w:id="192"/>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93" w:name="_Toc29624"/>
      <w:r>
        <w:rPr>
          <w:rFonts w:hint="eastAsia" w:ascii="宋体" w:hAnsi="宋体" w:eastAsia="宋体" w:cs="宋体"/>
        </w:rPr>
        <w:t>运营单位应根据设备设施的故障现象和影响程度及可能发生的突发事件编制行车应急预案。</w:t>
      </w:r>
      <w:bookmarkEnd w:id="193"/>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94" w:name="_Toc30515"/>
      <w:r>
        <w:rPr>
          <w:rFonts w:hint="eastAsia" w:ascii="宋体" w:hAnsi="宋体" w:eastAsia="宋体" w:cs="宋体"/>
        </w:rPr>
        <w:t>发生设备设施故障及突发事件后，运营单位应立即启动相应的行车应急预案，按应急预案的规定组织行车，采取应急抢险措施，防止事态扩大，按规定及时上报，确认行车条件</w:t>
      </w:r>
      <w:r>
        <w:rPr>
          <w:rFonts w:hint="eastAsia" w:ascii="宋体" w:hAnsi="宋体" w:eastAsia="宋体" w:cs="宋体"/>
          <w:lang w:eastAsia="zh-CN"/>
        </w:rPr>
        <w:t>允许的</w:t>
      </w:r>
      <w:r>
        <w:rPr>
          <w:rFonts w:hint="eastAsia" w:ascii="宋体" w:hAnsi="宋体" w:eastAsia="宋体" w:cs="宋体"/>
        </w:rPr>
        <w:t>情况下，最大限度地维持列车运行。</w:t>
      </w:r>
      <w:bookmarkEnd w:id="194"/>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95" w:name="_Toc25511"/>
      <w:r>
        <w:rPr>
          <w:rFonts w:hint="eastAsia" w:ascii="宋体" w:hAnsi="宋体" w:eastAsia="宋体" w:cs="宋体"/>
        </w:rPr>
        <w:t>非正常情况下行车组织时，列车应由司乘人员负责列车值守及应急情况下列车驾驶。</w:t>
      </w:r>
      <w:bookmarkEnd w:id="195"/>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196" w:name="_Toc24208"/>
      <w:r>
        <w:rPr>
          <w:rFonts w:hint="eastAsia" w:ascii="宋体" w:hAnsi="宋体" w:eastAsia="宋体" w:cs="宋体"/>
        </w:rPr>
        <w:t>突发事件处理完毕，确认具备运营条件后，运营单位应尽快恢复正常运营。</w:t>
      </w:r>
      <w:bookmarkEnd w:id="196"/>
    </w:p>
    <w:p>
      <w:pPr>
        <w:pStyle w:val="107"/>
        <w:spacing w:before="120" w:after="120"/>
        <w:rPr>
          <w:rFonts w:hint="eastAsia" w:hAnsi="Times New Roman" w:cs="Times New Roman"/>
        </w:rPr>
      </w:pPr>
      <w:bookmarkStart w:id="197" w:name="_Toc88567729"/>
      <w:bookmarkStart w:id="198" w:name="_Toc17360"/>
      <w:bookmarkStart w:id="199" w:name="_Toc32317"/>
      <w:r>
        <w:rPr>
          <w:rFonts w:hint="eastAsia" w:hAnsi="Times New Roman" w:cs="Times New Roman"/>
        </w:rPr>
        <w:t>行车调整</w:t>
      </w:r>
      <w:bookmarkEnd w:id="197"/>
      <w:bookmarkEnd w:id="198"/>
      <w:bookmarkEnd w:id="199"/>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00" w:name="_Toc14955"/>
      <w:r>
        <w:rPr>
          <w:rFonts w:hint="eastAsia" w:ascii="宋体" w:hAnsi="宋体" w:eastAsia="宋体" w:cs="宋体"/>
        </w:rPr>
        <w:t>区间限速调整列车时，应符合下列规定：</w:t>
      </w:r>
      <w:bookmarkEnd w:id="200"/>
    </w:p>
    <w:p>
      <w:pPr>
        <w:pStyle w:val="176"/>
        <w:numPr>
          <w:ilvl w:val="0"/>
          <w:numId w:val="43"/>
        </w:numPr>
        <w:ind w:left="777" w:leftChars="200" w:hanging="357" w:hangingChars="170"/>
      </w:pPr>
      <w:r>
        <w:rPr>
          <w:rFonts w:hint="eastAsia"/>
        </w:rPr>
        <w:t>遇区间发生设备故障或其他影响列车运行的情况，由行车调度员设置临时限速运行或远程</w:t>
      </w:r>
      <w:r>
        <w:t>操作</w:t>
      </w:r>
      <w:r>
        <w:rPr>
          <w:rFonts w:hint="eastAsia"/>
        </w:rPr>
        <w:t>列车停车；</w:t>
      </w:r>
    </w:p>
    <w:p>
      <w:pPr>
        <w:pStyle w:val="176"/>
        <w:numPr>
          <w:ilvl w:val="0"/>
          <w:numId w:val="43"/>
        </w:numPr>
        <w:ind w:left="777" w:leftChars="200" w:hanging="357" w:hangingChars="170"/>
      </w:pPr>
      <w:r>
        <w:rPr>
          <w:rFonts w:hint="eastAsia"/>
        </w:rPr>
        <w:t>信号系统具备限速功能时，由行车调度员组织在信号系统中进行设置或取消限速；信号系统故障不具备限速功能时，由司乘人员按行车调度员的命令限速人工驾驶。</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01" w:name="_Toc3821"/>
      <w:r>
        <w:rPr>
          <w:rFonts w:hint="eastAsia" w:ascii="宋体" w:hAnsi="宋体" w:eastAsia="宋体" w:cs="宋体"/>
        </w:rPr>
        <w:t>扣车时，应符合下列规定：</w:t>
      </w:r>
      <w:bookmarkEnd w:id="201"/>
    </w:p>
    <w:p>
      <w:pPr>
        <w:pStyle w:val="176"/>
        <w:numPr>
          <w:ilvl w:val="0"/>
          <w:numId w:val="44"/>
        </w:numPr>
        <w:ind w:left="777" w:leftChars="200" w:hanging="357" w:hangingChars="170"/>
      </w:pPr>
      <w:r>
        <w:rPr>
          <w:rFonts w:hint="eastAsia"/>
        </w:rPr>
        <w:t>由行车调度员在A</w:t>
      </w:r>
      <w:r>
        <w:t>TS</w:t>
      </w:r>
      <w:r>
        <w:rPr>
          <w:rFonts w:hint="eastAsia"/>
        </w:rPr>
        <w:t>工作站上设置</w:t>
      </w:r>
      <w:r>
        <w:t>扣车</w:t>
      </w:r>
      <w:r>
        <w:rPr>
          <w:rFonts w:hint="eastAsia"/>
        </w:rPr>
        <w:t>或由司乘人员按压站台</w:t>
      </w:r>
      <w:r>
        <w:t>紧急停车按钮扣车</w:t>
      </w:r>
      <w:r>
        <w:rPr>
          <w:rFonts w:hint="eastAsia"/>
        </w:rPr>
        <w:t>；</w:t>
      </w:r>
    </w:p>
    <w:p>
      <w:pPr>
        <w:pStyle w:val="176"/>
        <w:numPr>
          <w:ilvl w:val="0"/>
          <w:numId w:val="44"/>
        </w:numPr>
        <w:ind w:left="777" w:leftChars="200" w:hanging="357" w:hangingChars="170"/>
      </w:pPr>
      <w:r>
        <w:rPr>
          <w:rFonts w:hint="eastAsia"/>
        </w:rPr>
        <w:t>取消扣车应遵循“谁扣谁放”的原则，特殊情况按行车调度员命令执行。</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02" w:name="_Toc9783"/>
      <w:r>
        <w:rPr>
          <w:rFonts w:hint="eastAsia" w:ascii="宋体" w:hAnsi="宋体" w:eastAsia="宋体" w:cs="宋体"/>
        </w:rPr>
        <w:t>列车越站时，应符合下列规定：</w:t>
      </w:r>
      <w:bookmarkEnd w:id="202"/>
    </w:p>
    <w:p>
      <w:pPr>
        <w:pStyle w:val="176"/>
        <w:numPr>
          <w:ilvl w:val="0"/>
          <w:numId w:val="45"/>
        </w:numPr>
        <w:ind w:left="777" w:leftChars="200" w:hanging="357" w:hangingChars="170"/>
      </w:pPr>
      <w:r>
        <w:rPr>
          <w:rFonts w:hint="eastAsia"/>
        </w:rPr>
        <w:t>因运营调整需要或车站不具备乘客安全乘降条件时，由行车调度员在ATS工作站</w:t>
      </w:r>
      <w:r>
        <w:t>上设置越站</w:t>
      </w:r>
      <w:r>
        <w:rPr>
          <w:rFonts w:hint="eastAsia"/>
        </w:rPr>
        <w:t>；</w:t>
      </w:r>
    </w:p>
    <w:p>
      <w:pPr>
        <w:pStyle w:val="176"/>
        <w:numPr>
          <w:ilvl w:val="0"/>
          <w:numId w:val="45"/>
        </w:numPr>
        <w:ind w:left="777" w:leftChars="200" w:hanging="357" w:hangingChars="170"/>
      </w:pPr>
      <w:r>
        <w:rPr>
          <w:rFonts w:hint="eastAsia"/>
        </w:rPr>
        <w:t>乘客调度员接到列车越站调度命令后，立即广播告知乘客列车不停站信息。</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03" w:name="_Toc21022"/>
      <w:r>
        <w:rPr>
          <w:rFonts w:hint="eastAsia" w:ascii="宋体" w:hAnsi="宋体" w:eastAsia="宋体" w:cs="宋体"/>
        </w:rPr>
        <w:t>非正常情况清客时，应符合下列规定：</w:t>
      </w:r>
      <w:bookmarkEnd w:id="203"/>
    </w:p>
    <w:p>
      <w:pPr>
        <w:pStyle w:val="176"/>
        <w:numPr>
          <w:ilvl w:val="0"/>
          <w:numId w:val="46"/>
        </w:numPr>
        <w:ind w:left="777" w:leftChars="200" w:hanging="357" w:hangingChars="170"/>
      </w:pPr>
      <w:r>
        <w:rPr>
          <w:rFonts w:hint="eastAsia"/>
        </w:rPr>
        <w:t>行车调度员发布清客命</w:t>
      </w:r>
      <w:r>
        <w:rPr>
          <w:rFonts w:hint="eastAsia"/>
          <w:lang w:eastAsia="zh-CN"/>
        </w:rPr>
        <w:t>令</w:t>
      </w:r>
      <w:r>
        <w:rPr>
          <w:rFonts w:hint="eastAsia"/>
        </w:rPr>
        <w:t>后，乘客调度</w:t>
      </w:r>
      <w:r>
        <w:rPr>
          <w:rFonts w:hint="eastAsia"/>
          <w:lang w:eastAsia="zh-CN"/>
        </w:rPr>
        <w:t>员</w:t>
      </w:r>
      <w:r>
        <w:rPr>
          <w:rFonts w:hint="eastAsia"/>
        </w:rPr>
        <w:t>、司乘人员应立即执行，并做好乘客服务；</w:t>
      </w:r>
    </w:p>
    <w:p>
      <w:pPr>
        <w:pStyle w:val="176"/>
        <w:numPr>
          <w:ilvl w:val="0"/>
          <w:numId w:val="46"/>
        </w:numPr>
        <w:ind w:left="777" w:leftChars="200" w:hanging="357" w:hangingChars="170"/>
      </w:pPr>
      <w:r>
        <w:rPr>
          <w:rFonts w:hint="eastAsia"/>
        </w:rPr>
        <w:t>同一车站不宜组织连续两列及以上列车清客。</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04" w:name="_Toc10378"/>
      <w:r>
        <w:rPr>
          <w:rFonts w:hint="eastAsia" w:ascii="宋体" w:hAnsi="宋体" w:eastAsia="宋体" w:cs="宋体"/>
        </w:rPr>
        <w:t>反向运行时，应符合下列规定：</w:t>
      </w:r>
      <w:bookmarkEnd w:id="204"/>
    </w:p>
    <w:p>
      <w:pPr>
        <w:pStyle w:val="176"/>
        <w:numPr>
          <w:ilvl w:val="0"/>
          <w:numId w:val="47"/>
        </w:numPr>
        <w:ind w:left="777" w:leftChars="200" w:hanging="357" w:hangingChars="170"/>
      </w:pPr>
      <w:r>
        <w:rPr>
          <w:rFonts w:hint="eastAsia"/>
        </w:rPr>
        <w:t>因运营调整需要反向运行时，行车调度员确认线路空闲、进路准备妥当后发布调度命令并做好列车间隔控制；</w:t>
      </w:r>
    </w:p>
    <w:p>
      <w:pPr>
        <w:pStyle w:val="176"/>
        <w:numPr>
          <w:ilvl w:val="0"/>
          <w:numId w:val="47"/>
        </w:numPr>
        <w:ind w:left="777" w:leftChars="200" w:hanging="357" w:hangingChars="170"/>
      </w:pPr>
      <w:r>
        <w:rPr>
          <w:rFonts w:hint="eastAsia"/>
        </w:rPr>
        <w:t>结合信号系统功能条件由高至低选择列车运行模式；由</w:t>
      </w:r>
      <w:r>
        <w:t>司乘人员</w:t>
      </w:r>
      <w:r>
        <w:rPr>
          <w:rFonts w:hint="eastAsia"/>
        </w:rPr>
        <w:t>人工驾驶</w:t>
      </w:r>
      <w:r>
        <w:t>时，</w:t>
      </w:r>
      <w:r>
        <w:rPr>
          <w:rFonts w:hint="eastAsia"/>
        </w:rPr>
        <w:t>列车运行中认真确认运行进路情况，根据调度命令及所经区段的限速要求运行；</w:t>
      </w:r>
    </w:p>
    <w:p>
      <w:pPr>
        <w:pStyle w:val="176"/>
        <w:numPr>
          <w:ilvl w:val="0"/>
          <w:numId w:val="47"/>
        </w:numPr>
        <w:ind w:left="777" w:leftChars="200" w:hanging="357" w:hangingChars="170"/>
      </w:pPr>
      <w:r>
        <w:rPr>
          <w:rFonts w:hint="eastAsia"/>
        </w:rPr>
        <w:t>乘客调度员接到反向运行命令后，立即广播告知乘客列车反向运行信息。</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05" w:name="_Toc18579"/>
      <w:r>
        <w:rPr>
          <w:rFonts w:hint="eastAsia" w:ascii="宋体" w:hAnsi="宋体" w:eastAsia="宋体" w:cs="宋体"/>
        </w:rPr>
        <w:t>列车退行时，应符合下列规定：</w:t>
      </w:r>
      <w:bookmarkEnd w:id="205"/>
    </w:p>
    <w:p>
      <w:pPr>
        <w:pStyle w:val="176"/>
        <w:numPr>
          <w:ilvl w:val="0"/>
          <w:numId w:val="48"/>
        </w:numPr>
        <w:ind w:left="777" w:leftChars="200" w:hanging="357" w:hangingChars="170"/>
      </w:pPr>
      <w:r>
        <w:rPr>
          <w:rFonts w:hint="eastAsia"/>
        </w:rPr>
        <w:t>信号系统</w:t>
      </w:r>
      <w:r>
        <w:t>具备</w:t>
      </w:r>
      <w:r>
        <w:rPr>
          <w:rFonts w:hint="eastAsia"/>
        </w:rPr>
        <w:t>反向ATP</w:t>
      </w:r>
      <w:r>
        <w:t>功能</w:t>
      </w:r>
      <w:r>
        <w:rPr>
          <w:rFonts w:hint="eastAsia"/>
        </w:rPr>
        <w:t>时</w:t>
      </w:r>
      <w:r>
        <w:t>，由行车调度员</w:t>
      </w:r>
      <w:r>
        <w:rPr>
          <w:rFonts w:hint="eastAsia"/>
        </w:rPr>
        <w:t>确认满足列车退行条件后，</w:t>
      </w:r>
      <w:r>
        <w:t>组织列车退行</w:t>
      </w:r>
      <w:r>
        <w:rPr>
          <w:rFonts w:hint="eastAsia"/>
        </w:rPr>
        <w:t>；</w:t>
      </w:r>
    </w:p>
    <w:p>
      <w:pPr>
        <w:pStyle w:val="176"/>
        <w:numPr>
          <w:ilvl w:val="0"/>
          <w:numId w:val="48"/>
        </w:numPr>
        <w:ind w:left="777" w:leftChars="200" w:hanging="357" w:hangingChars="170"/>
      </w:pPr>
      <w:r>
        <w:rPr>
          <w:rFonts w:hint="eastAsia"/>
        </w:rPr>
        <w:t>信号</w:t>
      </w:r>
      <w:r>
        <w:t>系统</w:t>
      </w:r>
      <w:r>
        <w:rPr>
          <w:rFonts w:hint="eastAsia"/>
        </w:rPr>
        <w:t>不具备</w:t>
      </w:r>
      <w:r>
        <w:t>反向</w:t>
      </w:r>
      <w:r>
        <w:rPr>
          <w:rFonts w:hint="eastAsia"/>
        </w:rPr>
        <w:t>ATP功能</w:t>
      </w:r>
      <w:r>
        <w:t>时</w:t>
      </w:r>
      <w:r>
        <w:rPr>
          <w:rFonts w:hint="eastAsia"/>
        </w:rPr>
        <w:t>，由司乘</w:t>
      </w:r>
      <w:r>
        <w:t>人员</w:t>
      </w:r>
      <w:r>
        <w:rPr>
          <w:rFonts w:hint="eastAsia"/>
        </w:rPr>
        <w:t>按调度命令驾驶列车退行，未得到行车调度员同意时，严禁擅自退行；</w:t>
      </w:r>
    </w:p>
    <w:p>
      <w:pPr>
        <w:pStyle w:val="176"/>
        <w:numPr>
          <w:ilvl w:val="0"/>
          <w:numId w:val="48"/>
        </w:numPr>
        <w:ind w:left="777" w:leftChars="200" w:hanging="357" w:hangingChars="170"/>
      </w:pPr>
      <w:r>
        <w:rPr>
          <w:rFonts w:hint="eastAsia"/>
        </w:rPr>
        <w:t>乘客调度员接到列车退行命令后，立即广播告知乘客列车退行信息。</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06" w:name="_Toc10621"/>
      <w:r>
        <w:rPr>
          <w:rFonts w:hint="eastAsia" w:ascii="宋体" w:hAnsi="宋体" w:eastAsia="宋体" w:cs="宋体"/>
        </w:rPr>
        <w:t>加开备用列车时，应符合下列规定：</w:t>
      </w:r>
      <w:bookmarkEnd w:id="206"/>
    </w:p>
    <w:p>
      <w:pPr>
        <w:pStyle w:val="176"/>
        <w:numPr>
          <w:ilvl w:val="0"/>
          <w:numId w:val="49"/>
        </w:numPr>
        <w:ind w:left="777" w:leftChars="200" w:hanging="357" w:hangingChars="170"/>
      </w:pPr>
      <w:r>
        <w:rPr>
          <w:rFonts w:hint="eastAsia"/>
        </w:rPr>
        <w:t>发生大面积晚点、大客流、</w:t>
      </w:r>
      <w:r>
        <w:t>列车故障下线等情况</w:t>
      </w:r>
      <w:r>
        <w:rPr>
          <w:rFonts w:hint="eastAsia"/>
        </w:rPr>
        <w:t>时，由行车调度员结合现场情况组织加开备用列车；</w:t>
      </w:r>
    </w:p>
    <w:p>
      <w:pPr>
        <w:pStyle w:val="176"/>
        <w:numPr>
          <w:ilvl w:val="0"/>
          <w:numId w:val="49"/>
        </w:numPr>
        <w:ind w:left="777" w:leftChars="200" w:hanging="357" w:hangingChars="170"/>
      </w:pPr>
      <w:r>
        <w:rPr>
          <w:rFonts w:hint="eastAsia"/>
        </w:rPr>
        <w:t>采用轮充列车代替备用列车投入服务时，应</w:t>
      </w:r>
      <w:r>
        <w:t>及时</w:t>
      </w:r>
      <w:r>
        <w:rPr>
          <w:rFonts w:hint="eastAsia"/>
        </w:rPr>
        <w:t>调整列车轮充计划。</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07" w:name="_Toc734"/>
      <w:r>
        <w:rPr>
          <w:rFonts w:hint="eastAsia" w:ascii="宋体" w:hAnsi="宋体" w:eastAsia="宋体" w:cs="宋体"/>
        </w:rPr>
        <w:t>小交路运行时，应符合下列规定：</w:t>
      </w:r>
      <w:bookmarkEnd w:id="207"/>
    </w:p>
    <w:p>
      <w:pPr>
        <w:pStyle w:val="176"/>
        <w:numPr>
          <w:ilvl w:val="0"/>
          <w:numId w:val="50"/>
        </w:numPr>
        <w:ind w:left="777" w:leftChars="200" w:hanging="357" w:hangingChars="170"/>
      </w:pPr>
      <w:r>
        <w:rPr>
          <w:rFonts w:hint="eastAsia"/>
        </w:rPr>
        <w:t>发生线路</w:t>
      </w:r>
      <w:r>
        <w:t>堵塞、</w:t>
      </w:r>
      <w:r>
        <w:rPr>
          <w:rFonts w:hint="eastAsia"/>
        </w:rPr>
        <w:t>设备设施</w:t>
      </w:r>
      <w:r>
        <w:t>故障等情况</w:t>
      </w:r>
      <w:r>
        <w:rPr>
          <w:rFonts w:hint="eastAsia"/>
        </w:rPr>
        <w:t>需组织小交路运行时，应确认列车续航及调整列车轮充计划；</w:t>
      </w:r>
    </w:p>
    <w:p>
      <w:pPr>
        <w:pStyle w:val="176"/>
        <w:numPr>
          <w:ilvl w:val="0"/>
          <w:numId w:val="50"/>
        </w:numPr>
        <w:ind w:left="777" w:leftChars="200" w:hanging="357" w:hangingChars="170"/>
      </w:pPr>
      <w:r>
        <w:rPr>
          <w:rFonts w:hint="eastAsia"/>
        </w:rPr>
        <w:t>组织小交路运行期间，无小交路覆盖区域宜提供公交接驳服务；</w:t>
      </w:r>
    </w:p>
    <w:p>
      <w:pPr>
        <w:pStyle w:val="176"/>
        <w:numPr>
          <w:ilvl w:val="0"/>
          <w:numId w:val="50"/>
        </w:numPr>
        <w:ind w:left="777" w:leftChars="200" w:hanging="357" w:hangingChars="170"/>
      </w:pPr>
      <w:bookmarkStart w:id="208" w:name="_Toc88567730"/>
      <w:r>
        <w:rPr>
          <w:rFonts w:hint="eastAsia"/>
        </w:rPr>
        <w:t>乘客调度员接到小交路命令后，立即广播告知乘客。</w:t>
      </w:r>
    </w:p>
    <w:p>
      <w:pPr>
        <w:pStyle w:val="107"/>
        <w:spacing w:before="120" w:after="120"/>
        <w:rPr>
          <w:rFonts w:hint="eastAsia" w:hAnsi="Times New Roman" w:cs="Times New Roman"/>
        </w:rPr>
      </w:pPr>
      <w:bookmarkStart w:id="209" w:name="_Toc1231"/>
      <w:bookmarkStart w:id="210" w:name="_Toc20121"/>
      <w:r>
        <w:rPr>
          <w:rFonts w:hint="eastAsia" w:hAnsi="Times New Roman" w:cs="Times New Roman"/>
        </w:rPr>
        <w:t>设备故障时的行车组织</w:t>
      </w:r>
      <w:bookmarkEnd w:id="208"/>
      <w:bookmarkEnd w:id="209"/>
      <w:bookmarkEnd w:id="210"/>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11" w:name="_Toc3433"/>
      <w:r>
        <w:rPr>
          <w:rFonts w:hint="eastAsia" w:ascii="宋体" w:hAnsi="宋体" w:eastAsia="宋体" w:cs="宋体"/>
        </w:rPr>
        <w:t>轨道区段或计轴区段非正常占用时，行车组织应符合下列规定：</w:t>
      </w:r>
      <w:bookmarkEnd w:id="211"/>
    </w:p>
    <w:p>
      <w:pPr>
        <w:pStyle w:val="176"/>
        <w:numPr>
          <w:ilvl w:val="0"/>
          <w:numId w:val="51"/>
        </w:numPr>
        <w:ind w:left="777" w:leftChars="200" w:hanging="357" w:hangingChars="170"/>
      </w:pPr>
      <w:r>
        <w:rPr>
          <w:rFonts w:hint="eastAsia"/>
        </w:rPr>
        <w:t>确认轨道区段或计轴区段非正常占用为设备故障引起时，行车调度员应及时组织抢修；</w:t>
      </w:r>
    </w:p>
    <w:p>
      <w:pPr>
        <w:pStyle w:val="176"/>
        <w:numPr>
          <w:ilvl w:val="0"/>
          <w:numId w:val="51"/>
        </w:numPr>
        <w:ind w:left="777" w:leftChars="200" w:hanging="357" w:hangingChars="170"/>
      </w:pPr>
      <w:r>
        <w:rPr>
          <w:rFonts w:hint="eastAsia"/>
        </w:rPr>
        <w:t>行车调度员应确认计轴非正常占用区段空闲，符合行车条件后，方可组织列车通过；</w:t>
      </w:r>
    </w:p>
    <w:p>
      <w:pPr>
        <w:pStyle w:val="176"/>
        <w:numPr>
          <w:ilvl w:val="0"/>
          <w:numId w:val="51"/>
        </w:numPr>
        <w:ind w:left="777" w:leftChars="200" w:hanging="357" w:hangingChars="170"/>
      </w:pPr>
      <w:r>
        <w:rPr>
          <w:rFonts w:hint="eastAsia"/>
        </w:rPr>
        <w:t>轨道区段或计轴区段非正常占用影响全自动运行时，行车调度员应采取降级运行模式组织行车。</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12" w:name="_Toc24133"/>
      <w:r>
        <w:rPr>
          <w:rFonts w:hint="eastAsia" w:ascii="宋体" w:hAnsi="宋体" w:eastAsia="宋体" w:cs="宋体"/>
        </w:rPr>
        <w:t>道岔故障时，行车组织应符合下列规定：</w:t>
      </w:r>
      <w:bookmarkEnd w:id="212"/>
    </w:p>
    <w:p>
      <w:pPr>
        <w:pStyle w:val="176"/>
        <w:numPr>
          <w:ilvl w:val="0"/>
          <w:numId w:val="52"/>
        </w:numPr>
        <w:ind w:left="777" w:leftChars="200" w:hanging="357" w:hangingChars="170"/>
      </w:pPr>
      <w:r>
        <w:rPr>
          <w:rFonts w:hint="eastAsia"/>
        </w:rPr>
        <w:t>道岔状态显示异常或不能转动影响行车时，先扣停列车，立即组织设备部门抢修；</w:t>
      </w:r>
    </w:p>
    <w:p>
      <w:pPr>
        <w:pStyle w:val="176"/>
        <w:numPr>
          <w:ilvl w:val="0"/>
          <w:numId w:val="52"/>
        </w:numPr>
        <w:ind w:left="777" w:leftChars="200" w:hanging="357" w:hangingChars="170"/>
      </w:pPr>
      <w:r>
        <w:rPr>
          <w:rFonts w:hint="eastAsia"/>
        </w:rPr>
        <w:t>行车调度员根据正线堵塞情况，优先组织人员将故障道岔固定在正确位置，确认道岔具备行车条件后，组织列车限速通过，正线疏通后再适时组织抢修；</w:t>
      </w:r>
    </w:p>
    <w:p>
      <w:pPr>
        <w:pStyle w:val="176"/>
        <w:numPr>
          <w:ilvl w:val="0"/>
          <w:numId w:val="52"/>
        </w:numPr>
        <w:ind w:left="777" w:leftChars="200" w:hanging="357" w:hangingChars="170"/>
      </w:pPr>
      <w:r>
        <w:rPr>
          <w:rFonts w:hint="eastAsia"/>
        </w:rPr>
        <w:t>列车发生撞岔时，原则上不能继续动车，在设备专业人员确认安全后方可动车。</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13" w:name="_Toc10725"/>
      <w:r>
        <w:rPr>
          <w:rFonts w:hint="eastAsia" w:ascii="宋体" w:hAnsi="宋体" w:eastAsia="宋体" w:cs="宋体"/>
        </w:rPr>
        <w:t>信号设备故障时，行车组织应符合下列规定：</w:t>
      </w:r>
      <w:bookmarkEnd w:id="213"/>
    </w:p>
    <w:p>
      <w:pPr>
        <w:pStyle w:val="176"/>
        <w:numPr>
          <w:ilvl w:val="0"/>
          <w:numId w:val="53"/>
        </w:numPr>
        <w:ind w:left="777" w:leftChars="200" w:hanging="357" w:hangingChars="170"/>
      </w:pPr>
      <w:r>
        <w:rPr>
          <w:rFonts w:hint="eastAsia"/>
        </w:rPr>
        <w:t>单列车车载信号设备故障时，行车调度员应视列车位置及预计影响情况，组织列车到终点</w:t>
      </w:r>
      <w:r>
        <w:rPr>
          <w:rFonts w:hint="eastAsia"/>
          <w:lang w:eastAsia="zh-CN"/>
        </w:rPr>
        <w:t>站</w:t>
      </w:r>
      <w:r>
        <w:rPr>
          <w:rFonts w:hint="eastAsia"/>
        </w:rPr>
        <w:t>或前方就近车站清客后退出服务；</w:t>
      </w:r>
    </w:p>
    <w:p>
      <w:pPr>
        <w:pStyle w:val="176"/>
        <w:numPr>
          <w:ilvl w:val="0"/>
          <w:numId w:val="53"/>
        </w:numPr>
        <w:ind w:left="777" w:leftChars="200" w:hanging="357" w:hangingChars="170"/>
      </w:pPr>
      <w:r>
        <w:rPr>
          <w:rFonts w:hint="eastAsia"/>
        </w:rPr>
        <w:t>中央或轨旁信号设备故障时，行车调度员根据故障情况及信号系统功能选择行车组织</w:t>
      </w:r>
      <w:r>
        <w:rPr>
          <w:rFonts w:hint="eastAsia"/>
          <w:lang w:eastAsia="zh-CN"/>
        </w:rPr>
        <w:t>方</w:t>
      </w:r>
      <w:r>
        <w:rPr>
          <w:rFonts w:hint="eastAsia"/>
        </w:rPr>
        <w:t>法；</w:t>
      </w:r>
    </w:p>
    <w:p>
      <w:pPr>
        <w:pStyle w:val="176"/>
        <w:numPr>
          <w:ilvl w:val="0"/>
          <w:numId w:val="53"/>
        </w:numPr>
        <w:ind w:left="777" w:leftChars="200" w:hanging="357" w:hangingChars="170"/>
      </w:pPr>
      <w:r>
        <w:rPr>
          <w:rFonts w:hint="eastAsia"/>
        </w:rPr>
        <w:t>信号设备功能恢复、具备全自动运行条件后，行车</w:t>
      </w:r>
      <w:r>
        <w:t>调度员</w:t>
      </w:r>
      <w:r>
        <w:rPr>
          <w:rFonts w:hint="eastAsia"/>
        </w:rPr>
        <w:t>确认线路限速设置</w:t>
      </w:r>
      <w:r>
        <w:t>正确，恢复全线</w:t>
      </w:r>
      <w:r>
        <w:rPr>
          <w:rFonts w:hint="eastAsia"/>
        </w:rPr>
        <w:t>运行。</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14" w:name="_Toc20956"/>
      <w:r>
        <w:rPr>
          <w:rFonts w:hint="eastAsia" w:ascii="宋体" w:hAnsi="宋体" w:eastAsia="宋体" w:cs="宋体"/>
        </w:rPr>
        <w:t>正线、</w:t>
      </w:r>
      <w:r>
        <w:rPr>
          <w:rFonts w:hint="eastAsia" w:ascii="宋体" w:hAnsi="宋体" w:eastAsia="宋体" w:cs="宋体"/>
          <w:lang w:eastAsia="zh-CN"/>
        </w:rPr>
        <w:t>综合</w:t>
      </w:r>
      <w:r>
        <w:rPr>
          <w:rFonts w:hint="eastAsia" w:ascii="宋体" w:hAnsi="宋体" w:eastAsia="宋体" w:cs="宋体"/>
        </w:rPr>
        <w:t>车场列车充电设备故障时，行车组织应符合下列规定：</w:t>
      </w:r>
      <w:bookmarkEnd w:id="214"/>
    </w:p>
    <w:p>
      <w:pPr>
        <w:pStyle w:val="176"/>
        <w:numPr>
          <w:ilvl w:val="0"/>
          <w:numId w:val="54"/>
        </w:numPr>
        <w:ind w:left="777" w:leftChars="200" w:hanging="357" w:hangingChars="170"/>
      </w:pPr>
      <w:r>
        <w:rPr>
          <w:rFonts w:hint="eastAsia"/>
        </w:rPr>
        <w:t>行车调度员及时与设备调度员确认故障原因、影响</w:t>
      </w:r>
      <w:r>
        <w:t>范围、</w:t>
      </w:r>
      <w:r>
        <w:rPr>
          <w:rFonts w:hint="eastAsia"/>
        </w:rPr>
        <w:t>故障处理预计时间等；</w:t>
      </w:r>
    </w:p>
    <w:p>
      <w:pPr>
        <w:pStyle w:val="176"/>
        <w:numPr>
          <w:ilvl w:val="0"/>
          <w:numId w:val="54"/>
        </w:numPr>
        <w:ind w:left="777" w:leftChars="200" w:hanging="357" w:hangingChars="170"/>
      </w:pPr>
      <w:r>
        <w:rPr>
          <w:rFonts w:hint="eastAsia"/>
        </w:rPr>
        <w:t>行车调度员及时调整列车轮充计划，保证运营计划不受影响；</w:t>
      </w:r>
    </w:p>
    <w:p>
      <w:pPr>
        <w:pStyle w:val="176"/>
        <w:numPr>
          <w:ilvl w:val="0"/>
          <w:numId w:val="54"/>
        </w:numPr>
        <w:ind w:left="777" w:leftChars="200" w:hanging="357" w:hangingChars="170"/>
      </w:pPr>
      <w:r>
        <w:rPr>
          <w:rFonts w:hint="eastAsia"/>
        </w:rPr>
        <w:t>行车调度员应根据列车续航电量及故障预计修复时间，调整运营计划，确保最大程度维持运营服务；</w:t>
      </w:r>
    </w:p>
    <w:p>
      <w:pPr>
        <w:pStyle w:val="176"/>
        <w:numPr>
          <w:ilvl w:val="0"/>
          <w:numId w:val="54"/>
        </w:numPr>
        <w:ind w:left="777" w:leftChars="200" w:hanging="357" w:hangingChars="170"/>
      </w:pPr>
      <w:r>
        <w:rPr>
          <w:rFonts w:hint="eastAsia"/>
        </w:rPr>
        <w:t>充电设备恢复正常供电时，行车调度员及时组织列车轮换充电，恢复全线正常运营。</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15" w:name="_Toc10528"/>
      <w:r>
        <w:rPr>
          <w:rFonts w:hint="eastAsia" w:ascii="宋体" w:hAnsi="宋体" w:eastAsia="宋体" w:cs="宋体"/>
        </w:rPr>
        <w:t>站台门故障时，行车组织应符合下列规定：</w:t>
      </w:r>
      <w:bookmarkEnd w:id="215"/>
    </w:p>
    <w:p>
      <w:pPr>
        <w:pStyle w:val="176"/>
        <w:numPr>
          <w:ilvl w:val="0"/>
          <w:numId w:val="55"/>
        </w:numPr>
        <w:ind w:left="777" w:leftChars="200" w:hanging="357" w:hangingChars="170"/>
      </w:pPr>
      <w:r>
        <w:rPr>
          <w:rFonts w:hint="eastAsia"/>
        </w:rPr>
        <w:t>站台门与车门不能联动开关时，行车调度员组织人员将故障</w:t>
      </w:r>
      <w:r>
        <w:t>的</w:t>
      </w:r>
      <w:r>
        <w:rPr>
          <w:rFonts w:hint="eastAsia"/>
        </w:rPr>
        <w:t>站台门隔离，</w:t>
      </w:r>
      <w:r>
        <w:t>并组织抢修</w:t>
      </w:r>
      <w:r>
        <w:rPr>
          <w:rFonts w:hint="eastAsia"/>
        </w:rPr>
        <w:t>；</w:t>
      </w:r>
    </w:p>
    <w:p>
      <w:pPr>
        <w:pStyle w:val="176"/>
        <w:numPr>
          <w:ilvl w:val="0"/>
          <w:numId w:val="55"/>
        </w:numPr>
        <w:ind w:left="777" w:leftChars="200" w:hanging="357" w:hangingChars="170"/>
      </w:pPr>
      <w:r>
        <w:rPr>
          <w:rFonts w:hint="eastAsia"/>
        </w:rPr>
        <w:t>站台门发生破裂时，行车调度员应组织列车限速进、出站；司乘人员在破裂</w:t>
      </w:r>
      <w:r>
        <w:rPr>
          <w:rFonts w:hint="eastAsia"/>
          <w:lang w:eastAsia="zh-CN"/>
        </w:rPr>
        <w:t>门</w:t>
      </w:r>
      <w:r>
        <w:rPr>
          <w:rFonts w:hint="eastAsia"/>
        </w:rPr>
        <w:t>附近做好防护隔离措施。</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16" w:name="_Toc9932"/>
      <w:r>
        <w:rPr>
          <w:rFonts w:hint="eastAsia" w:ascii="宋体" w:hAnsi="宋体" w:eastAsia="宋体" w:cs="宋体"/>
        </w:rPr>
        <w:t>车辆故障时，行车组织应符合下列规定：</w:t>
      </w:r>
      <w:bookmarkEnd w:id="216"/>
    </w:p>
    <w:p>
      <w:pPr>
        <w:pStyle w:val="176"/>
        <w:numPr>
          <w:ilvl w:val="0"/>
          <w:numId w:val="56"/>
        </w:numPr>
        <w:ind w:left="777" w:leftChars="200" w:hanging="357" w:hangingChars="170"/>
      </w:pPr>
      <w:r>
        <w:rPr>
          <w:rFonts w:hint="eastAsia"/>
        </w:rPr>
        <w:t>行车调度员应及时</w:t>
      </w:r>
      <w:r>
        <w:rPr>
          <w:rFonts w:hint="eastAsia"/>
          <w:lang w:eastAsia="zh-CN"/>
        </w:rPr>
        <w:t>通知</w:t>
      </w:r>
      <w:r>
        <w:rPr>
          <w:rFonts w:hint="eastAsia"/>
        </w:rPr>
        <w:t>车辆</w:t>
      </w:r>
      <w:r>
        <w:rPr>
          <w:rFonts w:hint="eastAsia"/>
          <w:highlight w:val="none"/>
          <w:lang w:eastAsia="zh-CN"/>
        </w:rPr>
        <w:t>供应商</w:t>
      </w:r>
      <w:r>
        <w:rPr>
          <w:rFonts w:hint="eastAsia"/>
          <w:highlight w:val="none"/>
        </w:rPr>
        <w:t>排除故障；</w:t>
      </w:r>
    </w:p>
    <w:p>
      <w:pPr>
        <w:pStyle w:val="176"/>
        <w:numPr>
          <w:ilvl w:val="0"/>
          <w:numId w:val="56"/>
        </w:numPr>
        <w:ind w:left="777" w:leftChars="200" w:hanging="357" w:hangingChars="170"/>
      </w:pPr>
      <w:r>
        <w:rPr>
          <w:rFonts w:hint="eastAsia"/>
        </w:rPr>
        <w:t>列车发生故障无法动车或故障处理超过规定时间，按下列规定操作：</w:t>
      </w:r>
    </w:p>
    <w:p>
      <w:pPr>
        <w:pStyle w:val="176"/>
        <w:numPr>
          <w:ilvl w:val="0"/>
          <w:numId w:val="57"/>
        </w:numPr>
      </w:pPr>
      <w:r>
        <w:rPr>
          <w:rFonts w:hint="eastAsia"/>
        </w:rPr>
        <w:t>行车调度员及时发布列车救援命令，若在连挂前排除故障，行车调度员可取消列车救援；</w:t>
      </w:r>
    </w:p>
    <w:p>
      <w:pPr>
        <w:pStyle w:val="176"/>
        <w:numPr>
          <w:ilvl w:val="0"/>
          <w:numId w:val="57"/>
        </w:numPr>
      </w:pPr>
      <w:r>
        <w:rPr>
          <w:rFonts w:hint="eastAsia"/>
        </w:rPr>
        <w:t>使用列车救援时，救援前必须在故障列车前方或后方站清客，空车前往救援；</w:t>
      </w:r>
    </w:p>
    <w:p>
      <w:pPr>
        <w:pStyle w:val="176"/>
        <w:numPr>
          <w:ilvl w:val="0"/>
          <w:numId w:val="57"/>
        </w:numPr>
      </w:pPr>
      <w:r>
        <w:rPr>
          <w:rFonts w:hint="eastAsia"/>
        </w:rPr>
        <w:t>被救援列车在车站时应先清客再连挂；在区间时，连挂完毕后到就近车站清客；</w:t>
      </w:r>
    </w:p>
    <w:p>
      <w:pPr>
        <w:pStyle w:val="176"/>
        <w:numPr>
          <w:ilvl w:val="0"/>
          <w:numId w:val="57"/>
        </w:numPr>
      </w:pPr>
      <w:r>
        <w:rPr>
          <w:rFonts w:hint="eastAsia"/>
        </w:rPr>
        <w:t>救援列车与被救援列车连挂后，按规定速度运行。</w:t>
      </w:r>
    </w:p>
    <w:p>
      <w:pPr>
        <w:pStyle w:val="107"/>
        <w:spacing w:before="120" w:after="120"/>
        <w:rPr>
          <w:rFonts w:hint="eastAsia" w:hAnsi="Times New Roman" w:cs="Times New Roman"/>
        </w:rPr>
      </w:pPr>
      <w:bookmarkStart w:id="217" w:name="_Toc4236"/>
      <w:bookmarkStart w:id="218" w:name="_Toc27313"/>
      <w:bookmarkStart w:id="219" w:name="_Toc88567731"/>
      <w:r>
        <w:rPr>
          <w:rFonts w:hint="eastAsia" w:hAnsi="Times New Roman" w:cs="Times New Roman"/>
        </w:rPr>
        <w:t>运营突发事件时的行车组织</w:t>
      </w:r>
      <w:bookmarkEnd w:id="217"/>
      <w:bookmarkEnd w:id="218"/>
      <w:bookmarkEnd w:id="219"/>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20" w:name="_Toc9074"/>
      <w:r>
        <w:rPr>
          <w:rFonts w:hint="eastAsia" w:ascii="宋体" w:hAnsi="宋体" w:eastAsia="宋体" w:cs="宋体"/>
        </w:rPr>
        <w:t>人员非法进入行车区域时，行车组织应符合下列规定：</w:t>
      </w:r>
      <w:bookmarkEnd w:id="220"/>
    </w:p>
    <w:p>
      <w:pPr>
        <w:pStyle w:val="176"/>
        <w:numPr>
          <w:ilvl w:val="0"/>
          <w:numId w:val="58"/>
        </w:numPr>
        <w:ind w:left="777" w:leftChars="200" w:hanging="357" w:hangingChars="170"/>
      </w:pPr>
      <w:r>
        <w:rPr>
          <w:rFonts w:hint="eastAsia"/>
        </w:rPr>
        <w:t>发现有人员非法进入行车区域时，行车调度员应立即采取紧急措施扣停相关列车，封锁相关区域，并组织人员将非法进入人员带离行车</w:t>
      </w:r>
      <w:r>
        <w:t>区域</w:t>
      </w:r>
      <w:r>
        <w:rPr>
          <w:rFonts w:hint="eastAsia"/>
        </w:rPr>
        <w:t>；</w:t>
      </w:r>
    </w:p>
    <w:p>
      <w:pPr>
        <w:pStyle w:val="176"/>
        <w:numPr>
          <w:ilvl w:val="0"/>
          <w:numId w:val="58"/>
        </w:numPr>
        <w:ind w:left="777" w:leftChars="200" w:hanging="357" w:hangingChars="170"/>
      </w:pPr>
      <w:r>
        <w:rPr>
          <w:rFonts w:hint="eastAsia"/>
        </w:rPr>
        <w:t>发生人员与列车冲撞时，宜由司乘人员组织</w:t>
      </w:r>
      <w:r>
        <w:rPr>
          <w:rFonts w:hint="eastAsia"/>
          <w:lang w:eastAsia="zh-CN"/>
        </w:rPr>
        <w:t>现场</w:t>
      </w:r>
      <w:r>
        <w:rPr>
          <w:rFonts w:hint="eastAsia"/>
        </w:rPr>
        <w:t>事故处置，行车调度员调整列车运行。</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21" w:name="_Toc20735"/>
      <w:r>
        <w:rPr>
          <w:rFonts w:hint="eastAsia" w:ascii="宋体" w:hAnsi="宋体" w:eastAsia="宋体" w:cs="宋体"/>
        </w:rPr>
        <w:t>列车</w:t>
      </w:r>
      <w:r>
        <w:rPr>
          <w:rFonts w:hint="eastAsia" w:ascii="宋体" w:hAnsi="宋体" w:eastAsia="宋体" w:cs="宋体"/>
          <w:lang w:eastAsia="zh-CN"/>
        </w:rPr>
        <w:t>发生</w:t>
      </w:r>
      <w:r>
        <w:rPr>
          <w:rFonts w:hint="eastAsia" w:ascii="宋体" w:hAnsi="宋体" w:eastAsia="宋体" w:cs="宋体"/>
        </w:rPr>
        <w:t>分离、冲突、撞岔等情况时，行车组织应符合下列规定：</w:t>
      </w:r>
      <w:bookmarkEnd w:id="221"/>
    </w:p>
    <w:p>
      <w:pPr>
        <w:pStyle w:val="176"/>
        <w:numPr>
          <w:ilvl w:val="0"/>
          <w:numId w:val="59"/>
        </w:numPr>
        <w:ind w:left="777" w:leftChars="200" w:hanging="357" w:hangingChars="170"/>
      </w:pPr>
      <w:r>
        <w:rPr>
          <w:rFonts w:hint="eastAsia"/>
        </w:rPr>
        <w:t>运营单位应立即启动相关抢险救援应急预案；</w:t>
      </w:r>
    </w:p>
    <w:p>
      <w:pPr>
        <w:pStyle w:val="176"/>
        <w:numPr>
          <w:ilvl w:val="0"/>
          <w:numId w:val="59"/>
        </w:numPr>
        <w:ind w:left="777" w:leftChars="200" w:hanging="357" w:hangingChars="170"/>
      </w:pPr>
      <w:r>
        <w:rPr>
          <w:rFonts w:hint="eastAsia"/>
        </w:rPr>
        <w:t>行车调度员应视情况变更行车交路和按规定启动应急公交接驳；</w:t>
      </w:r>
    </w:p>
    <w:p>
      <w:pPr>
        <w:pStyle w:val="176"/>
        <w:numPr>
          <w:ilvl w:val="0"/>
          <w:numId w:val="59"/>
        </w:numPr>
        <w:ind w:left="777" w:leftChars="200" w:hanging="357" w:hangingChars="170"/>
      </w:pPr>
      <w:r>
        <w:rPr>
          <w:rFonts w:hint="eastAsia"/>
        </w:rPr>
        <w:t>抢险完毕后，行车调度员应及时调整列车运行秩序，指挥列车恢复正常运行。</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22" w:name="_Toc20876"/>
      <w:r>
        <w:rPr>
          <w:rFonts w:hint="eastAsia" w:ascii="宋体" w:hAnsi="宋体" w:eastAsia="宋体" w:cs="宋体"/>
        </w:rPr>
        <w:t>区间疏散乘客时，行车组织应符合下列规定：</w:t>
      </w:r>
      <w:bookmarkEnd w:id="222"/>
    </w:p>
    <w:p>
      <w:pPr>
        <w:pStyle w:val="176"/>
        <w:numPr>
          <w:ilvl w:val="0"/>
          <w:numId w:val="60"/>
        </w:numPr>
        <w:ind w:left="777" w:leftChars="200" w:hanging="357" w:hangingChars="170"/>
      </w:pPr>
      <w:r>
        <w:rPr>
          <w:rFonts w:hint="eastAsia"/>
        </w:rPr>
        <w:t>紧急情况下，行车调度员应组织区间疏散乘客；</w:t>
      </w:r>
    </w:p>
    <w:p>
      <w:pPr>
        <w:pStyle w:val="176"/>
        <w:numPr>
          <w:ilvl w:val="0"/>
          <w:numId w:val="60"/>
        </w:numPr>
        <w:ind w:left="777" w:leftChars="200" w:hanging="357" w:hangingChars="170"/>
      </w:pPr>
      <w:r>
        <w:rPr>
          <w:rFonts w:hint="eastAsia"/>
        </w:rPr>
        <w:t>行车调度员根据现场疏散的条件，明确区间疏散乘客的方向，及时调整影响区域的行车组织安排，并组织司乘人员引导乘客疏散；</w:t>
      </w:r>
    </w:p>
    <w:p>
      <w:pPr>
        <w:pStyle w:val="176"/>
        <w:numPr>
          <w:ilvl w:val="0"/>
          <w:numId w:val="60"/>
        </w:numPr>
        <w:ind w:left="777" w:leftChars="200" w:hanging="357" w:hangingChars="170"/>
      </w:pPr>
      <w:r>
        <w:rPr>
          <w:rFonts w:hint="eastAsia"/>
        </w:rPr>
        <w:t>组织区间疏散前应做好安全防护措施。</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23" w:name="_Toc16501"/>
      <w:r>
        <w:rPr>
          <w:rFonts w:hint="eastAsia" w:ascii="宋体" w:hAnsi="宋体" w:eastAsia="宋体" w:cs="宋体"/>
        </w:rPr>
        <w:t>突发大客流时，行车组织应符合下列规定：</w:t>
      </w:r>
      <w:bookmarkEnd w:id="223"/>
    </w:p>
    <w:p>
      <w:pPr>
        <w:pStyle w:val="176"/>
        <w:numPr>
          <w:ilvl w:val="0"/>
          <w:numId w:val="61"/>
        </w:numPr>
        <w:ind w:left="777" w:leftChars="200" w:hanging="357" w:hangingChars="170"/>
      </w:pPr>
      <w:r>
        <w:rPr>
          <w:rFonts w:hint="eastAsia"/>
        </w:rPr>
        <w:t>发生客流持续增多，超出车站承受能力的情况时，行车调度员应组织司乘人员及时采取大客流疏导、限流、封站等临时措施控制现场客流秩序；</w:t>
      </w:r>
    </w:p>
    <w:p>
      <w:pPr>
        <w:pStyle w:val="176"/>
        <w:numPr>
          <w:ilvl w:val="0"/>
          <w:numId w:val="61"/>
        </w:numPr>
        <w:ind w:left="777" w:leftChars="200" w:hanging="357" w:hangingChars="170"/>
      </w:pPr>
      <w:r>
        <w:rPr>
          <w:rFonts w:hint="eastAsia"/>
        </w:rPr>
        <w:t>行车调度员根据实际情况变更行车组织方式，可采取加开列车、调整停站时间、越站等行车调整措施。</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24" w:name="_Toc15740"/>
      <w:r>
        <w:rPr>
          <w:rFonts w:hint="eastAsia" w:ascii="宋体" w:hAnsi="宋体" w:eastAsia="宋体" w:cs="宋体"/>
        </w:rPr>
        <w:t>发生地震时，行车组织应符合下列规定：</w:t>
      </w:r>
      <w:bookmarkEnd w:id="224"/>
    </w:p>
    <w:p>
      <w:pPr>
        <w:pStyle w:val="176"/>
        <w:numPr>
          <w:ilvl w:val="0"/>
          <w:numId w:val="62"/>
        </w:numPr>
        <w:ind w:left="777" w:leftChars="200" w:hanging="357" w:hangingChars="170"/>
      </w:pPr>
      <w:r>
        <w:rPr>
          <w:rFonts w:hint="eastAsia"/>
        </w:rPr>
        <w:t>发生明显震感时行车相关</w:t>
      </w:r>
      <w:r>
        <w:t>人</w:t>
      </w:r>
      <w:r>
        <w:rPr>
          <w:rFonts w:hint="eastAsia"/>
        </w:rPr>
        <w:t>员可</w:t>
      </w:r>
      <w:r>
        <w:t>视情况</w:t>
      </w:r>
      <w:r>
        <w:rPr>
          <w:rFonts w:hint="eastAsia"/>
        </w:rPr>
        <w:t>采取限速</w:t>
      </w:r>
      <w:r>
        <w:t>、</w:t>
      </w:r>
      <w:r>
        <w:rPr>
          <w:rFonts w:hint="eastAsia"/>
        </w:rPr>
        <w:t>停运</w:t>
      </w:r>
      <w:r>
        <w:t>、封站</w:t>
      </w:r>
      <w:r>
        <w:rPr>
          <w:rFonts w:hint="eastAsia"/>
        </w:rPr>
        <w:t>等应急处置</w:t>
      </w:r>
      <w:r>
        <w:t>措施</w:t>
      </w:r>
      <w:r>
        <w:rPr>
          <w:rFonts w:hint="eastAsia"/>
        </w:rPr>
        <w:t>；</w:t>
      </w:r>
    </w:p>
    <w:p>
      <w:pPr>
        <w:pStyle w:val="176"/>
        <w:numPr>
          <w:ilvl w:val="0"/>
          <w:numId w:val="62"/>
        </w:numPr>
        <w:ind w:left="777" w:leftChars="200" w:hanging="357" w:hangingChars="170"/>
      </w:pPr>
      <w:r>
        <w:rPr>
          <w:rFonts w:hint="eastAsia"/>
        </w:rPr>
        <w:t>行车调度员组织司乘人员引导乘客至安全地点或组织乘客疏散，并停止对外服务；</w:t>
      </w:r>
    </w:p>
    <w:p>
      <w:pPr>
        <w:pStyle w:val="176"/>
        <w:numPr>
          <w:ilvl w:val="0"/>
          <w:numId w:val="62"/>
        </w:numPr>
        <w:ind w:left="777" w:leftChars="200" w:hanging="357" w:hangingChars="170"/>
      </w:pPr>
      <w:r>
        <w:rPr>
          <w:rFonts w:hint="eastAsia"/>
        </w:rPr>
        <w:t>行车调度员与设备调度员组织人员排查全线隐患，确认符合运营条件后，方可发布恢复正常运营调度命令。</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25" w:name="_Toc22231"/>
      <w:r>
        <w:rPr>
          <w:rFonts w:hint="eastAsia" w:ascii="宋体" w:hAnsi="宋体" w:eastAsia="宋体" w:cs="宋体"/>
        </w:rPr>
        <w:t>发生火灾、爆炸事件时，行车组织应符合下列规定：</w:t>
      </w:r>
      <w:bookmarkEnd w:id="225"/>
    </w:p>
    <w:p>
      <w:pPr>
        <w:pStyle w:val="176"/>
        <w:numPr>
          <w:ilvl w:val="0"/>
          <w:numId w:val="63"/>
        </w:numPr>
        <w:ind w:left="777" w:leftChars="200" w:hanging="357" w:hangingChars="170"/>
      </w:pPr>
      <w:r>
        <w:rPr>
          <w:rFonts w:hint="eastAsia"/>
        </w:rPr>
        <w:t>在列车上发生时，行车调度员应尽量维持列车运行至前方车站，如列车迫停区间无法动车，立即执行区间疏散程序；</w:t>
      </w:r>
    </w:p>
    <w:p>
      <w:pPr>
        <w:pStyle w:val="176"/>
        <w:numPr>
          <w:ilvl w:val="0"/>
          <w:numId w:val="63"/>
        </w:numPr>
        <w:ind w:left="777" w:leftChars="200" w:hanging="357" w:hangingChars="170"/>
      </w:pPr>
      <w:r>
        <w:rPr>
          <w:rFonts w:hint="eastAsia"/>
        </w:rPr>
        <w:t>在车站发生时，乘客调度</w:t>
      </w:r>
      <w:r>
        <w:t>员</w:t>
      </w:r>
      <w:r>
        <w:rPr>
          <w:rFonts w:hint="eastAsia"/>
        </w:rPr>
        <w:t>、司乘</w:t>
      </w:r>
      <w:r>
        <w:t>人员</w:t>
      </w:r>
      <w:r>
        <w:rPr>
          <w:rFonts w:hint="eastAsia"/>
        </w:rPr>
        <w:t>及时疏散乘客；</w:t>
      </w:r>
    </w:p>
    <w:p>
      <w:pPr>
        <w:pStyle w:val="176"/>
        <w:numPr>
          <w:ilvl w:val="0"/>
          <w:numId w:val="63"/>
        </w:numPr>
        <w:ind w:left="777" w:leftChars="200" w:hanging="357" w:hangingChars="170"/>
      </w:pPr>
      <w:r>
        <w:rPr>
          <w:rFonts w:hint="eastAsia"/>
        </w:rPr>
        <w:t>根据现场情况通知消防、公安、医疗等</w:t>
      </w:r>
      <w:r>
        <w:rPr>
          <w:rFonts w:hint="eastAsia"/>
          <w:lang w:eastAsia="zh-CN"/>
        </w:rPr>
        <w:t>外部</w:t>
      </w:r>
      <w:r>
        <w:rPr>
          <w:rFonts w:hint="eastAsia"/>
        </w:rPr>
        <w:t>部门赶至现场处置；</w:t>
      </w:r>
    </w:p>
    <w:p>
      <w:pPr>
        <w:pStyle w:val="176"/>
        <w:numPr>
          <w:ilvl w:val="0"/>
          <w:numId w:val="63"/>
        </w:numPr>
        <w:ind w:left="777" w:leftChars="200" w:hanging="357" w:hangingChars="170"/>
      </w:pPr>
      <w:r>
        <w:rPr>
          <w:rFonts w:hint="eastAsia"/>
        </w:rPr>
        <w:t>行车调度员应根据现场情况采取越站、变更行车交路或停运等调整措施。</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26" w:name="_Toc20577"/>
      <w:r>
        <w:rPr>
          <w:rFonts w:hint="eastAsia" w:ascii="宋体" w:hAnsi="宋体" w:eastAsia="宋体" w:cs="宋体"/>
        </w:rPr>
        <w:t>发生毒气袭击事件时，行车组织应符合下列规定：</w:t>
      </w:r>
      <w:bookmarkEnd w:id="226"/>
    </w:p>
    <w:p>
      <w:pPr>
        <w:pStyle w:val="176"/>
        <w:numPr>
          <w:ilvl w:val="0"/>
          <w:numId w:val="64"/>
        </w:numPr>
        <w:ind w:left="777" w:leftChars="200" w:hanging="357" w:hangingChars="170"/>
      </w:pPr>
      <w:r>
        <w:rPr>
          <w:rFonts w:hint="eastAsia"/>
        </w:rPr>
        <w:t>列车上发生不明原因的群体性晕倒事件时，行车调度员应尽量维持列车运行至前方车站，如列车迫停区间无法动车，立即执行区间疏散程序；</w:t>
      </w:r>
    </w:p>
    <w:p>
      <w:pPr>
        <w:pStyle w:val="176"/>
        <w:numPr>
          <w:ilvl w:val="0"/>
          <w:numId w:val="64"/>
        </w:numPr>
        <w:ind w:left="777" w:leftChars="200" w:hanging="357" w:hangingChars="170"/>
      </w:pPr>
      <w:r>
        <w:rPr>
          <w:rFonts w:hint="eastAsia"/>
        </w:rPr>
        <w:t>车站发生不明原因的群体性晕倒事件时，</w:t>
      </w:r>
      <w:r>
        <w:rPr>
          <w:rFonts w:hint="eastAsia"/>
          <w:lang w:eastAsia="zh-CN"/>
        </w:rPr>
        <w:t>行车调度员</w:t>
      </w:r>
      <w:r>
        <w:rPr>
          <w:rFonts w:hint="eastAsia"/>
        </w:rPr>
        <w:t>应发布关站调度命令，司乘人员组织疏散乘客，执行关站程序；</w:t>
      </w:r>
    </w:p>
    <w:p>
      <w:pPr>
        <w:pStyle w:val="176"/>
        <w:numPr>
          <w:ilvl w:val="0"/>
          <w:numId w:val="64"/>
        </w:numPr>
        <w:ind w:left="777" w:leftChars="200" w:hanging="357" w:hangingChars="170"/>
      </w:pPr>
      <w:r>
        <w:rPr>
          <w:rFonts w:hint="eastAsia"/>
        </w:rPr>
        <w:t>行车调度员应根据现场情况采取越站、变更行车交路或停运等调整措施；</w:t>
      </w:r>
    </w:p>
    <w:p>
      <w:pPr>
        <w:pStyle w:val="176"/>
        <w:numPr>
          <w:ilvl w:val="0"/>
          <w:numId w:val="64"/>
        </w:numPr>
        <w:ind w:left="777" w:leftChars="200" w:hanging="357" w:hangingChars="170"/>
      </w:pPr>
      <w:r>
        <w:rPr>
          <w:rFonts w:hint="eastAsia"/>
        </w:rPr>
        <w:t>根据现场情况</w:t>
      </w:r>
      <w:r>
        <w:rPr>
          <w:rFonts w:hint="eastAsia"/>
          <w:lang w:eastAsia="zh-CN"/>
        </w:rPr>
        <w:t>通知</w:t>
      </w:r>
      <w:r>
        <w:rPr>
          <w:rFonts w:hint="eastAsia"/>
        </w:rPr>
        <w:t>消防、公安、医疗等外部部门赶至现场处置。</w:t>
      </w:r>
    </w:p>
    <w:p>
      <w:pPr>
        <w:pStyle w:val="106"/>
        <w:spacing w:before="240" w:after="240"/>
        <w:rPr>
          <w:rFonts w:hint="eastAsia"/>
          <w:lang w:val="en-US" w:eastAsia="zh-CN"/>
        </w:rPr>
      </w:pPr>
      <w:bookmarkStart w:id="227" w:name="_Toc29951"/>
      <w:bookmarkStart w:id="228" w:name="_Toc88567734"/>
      <w:bookmarkStart w:id="229" w:name="_Toc28189"/>
      <w:r>
        <w:rPr>
          <w:rFonts w:hint="eastAsia"/>
          <w:lang w:val="en-US" w:eastAsia="zh-CN"/>
        </w:rPr>
        <w:t>运营施工组织</w:t>
      </w:r>
      <w:bookmarkEnd w:id="227"/>
      <w:bookmarkEnd w:id="228"/>
      <w:bookmarkEnd w:id="229"/>
    </w:p>
    <w:p>
      <w:pPr>
        <w:pStyle w:val="107"/>
        <w:spacing w:before="120" w:after="120"/>
        <w:rPr>
          <w:rFonts w:hint="eastAsia" w:hAnsi="Times New Roman" w:cs="Times New Roman"/>
        </w:rPr>
      </w:pPr>
      <w:bookmarkStart w:id="230" w:name="_Toc88567735"/>
      <w:bookmarkStart w:id="231" w:name="_Toc16011"/>
      <w:bookmarkStart w:id="232" w:name="_Toc9295"/>
      <w:r>
        <w:rPr>
          <w:rFonts w:hint="eastAsia" w:hAnsi="Times New Roman" w:cs="Times New Roman"/>
        </w:rPr>
        <w:t>一般要求</w:t>
      </w:r>
      <w:bookmarkEnd w:id="230"/>
      <w:bookmarkEnd w:id="231"/>
      <w:bookmarkEnd w:id="232"/>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33" w:name="_Toc2105"/>
      <w:r>
        <w:rPr>
          <w:rFonts w:hint="eastAsia" w:ascii="宋体" w:hAnsi="宋体" w:eastAsia="宋体" w:cs="宋体"/>
        </w:rPr>
        <w:t>运营单位应按设备设施检修的要求，组织开展维修保养，保障行车设备设施安全可靠运行。</w:t>
      </w:r>
      <w:bookmarkEnd w:id="233"/>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34" w:name="_Toc27371"/>
      <w:r>
        <w:rPr>
          <w:rFonts w:hint="eastAsia" w:ascii="宋体" w:hAnsi="宋体" w:eastAsia="宋体" w:cs="宋体"/>
        </w:rPr>
        <w:t>运营期间不应对影响行车的有关设备设施进行检修作业。</w:t>
      </w:r>
      <w:bookmarkEnd w:id="234"/>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35" w:name="_Toc29108"/>
      <w:r>
        <w:rPr>
          <w:rFonts w:hint="eastAsia" w:ascii="宋体" w:hAnsi="宋体" w:eastAsia="宋体" w:cs="宋体"/>
        </w:rPr>
        <w:t>正在检修的行车设备设施需要使用时，应经检修人员同意；正在使用的行车设备设施需要检修时，应经使用部门同意。</w:t>
      </w:r>
      <w:bookmarkEnd w:id="235"/>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36" w:name="_Toc560"/>
      <w:r>
        <w:rPr>
          <w:rFonts w:hint="eastAsia" w:ascii="宋体" w:hAnsi="宋体" w:eastAsia="宋体" w:cs="宋体"/>
        </w:rPr>
        <w:t>进入行车区域及影响正线、</w:t>
      </w:r>
      <w:r>
        <w:rPr>
          <w:rFonts w:hint="eastAsia" w:ascii="宋体" w:hAnsi="宋体" w:eastAsia="宋体" w:cs="宋体"/>
          <w:lang w:eastAsia="zh-CN"/>
        </w:rPr>
        <w:t>综合</w:t>
      </w:r>
      <w:r>
        <w:rPr>
          <w:rFonts w:hint="eastAsia" w:ascii="宋体" w:hAnsi="宋体" w:eastAsia="宋体" w:cs="宋体"/>
        </w:rPr>
        <w:t>车场行车的施工应得到行车调度员同意。</w:t>
      </w:r>
      <w:bookmarkEnd w:id="236"/>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37" w:name="_Toc3558"/>
      <w:r>
        <w:rPr>
          <w:rFonts w:hint="eastAsia" w:ascii="宋体" w:hAnsi="宋体" w:eastAsia="宋体" w:cs="宋体"/>
        </w:rPr>
        <w:t>运营线路每天非运营时间内的设备设施检修施工预留时间不宜少于4 h。</w:t>
      </w:r>
      <w:bookmarkEnd w:id="237"/>
    </w:p>
    <w:p>
      <w:pPr>
        <w:pStyle w:val="107"/>
        <w:spacing w:before="120" w:after="120"/>
        <w:rPr>
          <w:rFonts w:hint="eastAsia" w:hAnsi="Times New Roman" w:cs="Times New Roman"/>
        </w:rPr>
      </w:pPr>
      <w:bookmarkStart w:id="238" w:name="_Toc28723"/>
      <w:bookmarkStart w:id="239" w:name="_Toc88567736"/>
      <w:bookmarkStart w:id="240" w:name="_Toc23540"/>
      <w:r>
        <w:rPr>
          <w:rFonts w:hint="eastAsia" w:hAnsi="Times New Roman" w:cs="Times New Roman"/>
        </w:rPr>
        <w:t>运营期间的设备设施抢修</w:t>
      </w:r>
      <w:bookmarkEnd w:id="238"/>
      <w:bookmarkEnd w:id="239"/>
      <w:bookmarkEnd w:id="240"/>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41" w:name="_Toc16940"/>
      <w:r>
        <w:rPr>
          <w:rFonts w:hint="eastAsia" w:ascii="宋体" w:hAnsi="宋体" w:eastAsia="宋体" w:cs="宋体"/>
        </w:rPr>
        <w:t>设备设施故障抢修应贯彻“先通后复”的原则，尽量减少对运营的影响。</w:t>
      </w:r>
      <w:bookmarkEnd w:id="241"/>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42" w:name="_Toc1558"/>
      <w:r>
        <w:rPr>
          <w:rFonts w:hint="eastAsia" w:ascii="宋体" w:hAnsi="宋体" w:eastAsia="宋体" w:cs="宋体"/>
        </w:rPr>
        <w:t>运营期间发生行车设备设施故障需进入轨行区抢修时，行车调度员应做好安全防护措施并进行行车调整。</w:t>
      </w:r>
      <w:bookmarkEnd w:id="242"/>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43" w:name="_Toc24455"/>
      <w:r>
        <w:rPr>
          <w:rFonts w:hint="eastAsia" w:ascii="宋体" w:hAnsi="宋体" w:eastAsia="宋体" w:cs="宋体"/>
        </w:rPr>
        <w:t>抢修人员应在获得行车调度员批准并落实安全防护措施后，方可进入轨行区抢修。</w:t>
      </w:r>
      <w:bookmarkEnd w:id="243"/>
    </w:p>
    <w:p>
      <w:pPr>
        <w:pStyle w:val="107"/>
        <w:spacing w:before="120" w:after="120"/>
        <w:rPr>
          <w:rFonts w:hint="eastAsia" w:hAnsi="Times New Roman" w:cs="Times New Roman"/>
        </w:rPr>
      </w:pPr>
      <w:bookmarkStart w:id="244" w:name="_Toc88567737"/>
      <w:bookmarkStart w:id="245" w:name="_Toc15166"/>
      <w:bookmarkStart w:id="246" w:name="_Toc11153"/>
      <w:r>
        <w:rPr>
          <w:rFonts w:hint="eastAsia" w:hAnsi="Times New Roman" w:cs="Times New Roman"/>
        </w:rPr>
        <w:t>非运营期间的设备设施检修施工</w:t>
      </w:r>
      <w:bookmarkEnd w:id="244"/>
      <w:bookmarkEnd w:id="245"/>
      <w:bookmarkEnd w:id="246"/>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47" w:name="_Toc9872"/>
      <w:r>
        <w:rPr>
          <w:rFonts w:hint="eastAsia" w:ascii="宋体" w:hAnsi="宋体" w:eastAsia="宋体" w:cs="宋体"/>
        </w:rPr>
        <w:t>非运营期间，运营单位按施工计划组织对各设备设施系统进行检修作业，并执行请销点程序</w:t>
      </w:r>
      <w:bookmarkEnd w:id="247"/>
      <w:r>
        <w:rPr>
          <w:rFonts w:hint="eastAsia" w:ascii="宋体" w:hAnsi="宋体" w:eastAsia="宋体" w:cs="宋体"/>
        </w:rPr>
        <w:t>。</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48" w:name="_Toc8114"/>
      <w:r>
        <w:rPr>
          <w:rFonts w:hint="eastAsia" w:ascii="宋体" w:hAnsi="宋体" w:eastAsia="宋体" w:cs="宋体"/>
        </w:rPr>
        <w:t>检修人员在施工结束前对检修的设备设施功能进行测试</w:t>
      </w:r>
      <w:bookmarkEnd w:id="248"/>
      <w:r>
        <w:rPr>
          <w:rFonts w:hint="eastAsia" w:ascii="宋体" w:hAnsi="宋体" w:eastAsia="宋体" w:cs="宋体"/>
        </w:rPr>
        <w:t>。</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49" w:name="_Toc8095"/>
      <w:r>
        <w:rPr>
          <w:rFonts w:hint="eastAsia" w:ascii="宋体" w:hAnsi="宋体" w:eastAsia="宋体" w:cs="宋体"/>
        </w:rPr>
        <w:t>各类施工作业应按规定时间结束</w:t>
      </w:r>
      <w:r>
        <w:rPr>
          <w:rFonts w:hint="eastAsia" w:ascii="宋体" w:hAnsi="宋体" w:eastAsia="宋体" w:cs="宋体"/>
          <w:lang w:eastAsia="zh-CN"/>
        </w:rPr>
        <w:t>施工</w:t>
      </w:r>
      <w:r>
        <w:rPr>
          <w:rFonts w:hint="eastAsia" w:ascii="宋体" w:hAnsi="宋体" w:eastAsia="宋体" w:cs="宋体"/>
        </w:rPr>
        <w:t>，不应影响正常的运营行车组织。</w:t>
      </w:r>
      <w:bookmarkEnd w:id="249"/>
    </w:p>
    <w:p>
      <w:pPr>
        <w:pStyle w:val="107"/>
        <w:spacing w:before="120" w:after="120"/>
        <w:rPr>
          <w:rFonts w:hint="eastAsia" w:hAnsi="Times New Roman" w:cs="Times New Roman"/>
        </w:rPr>
      </w:pPr>
      <w:bookmarkStart w:id="250" w:name="_Toc8397"/>
      <w:bookmarkStart w:id="251" w:name="_Toc17853"/>
      <w:bookmarkStart w:id="252" w:name="_Toc88567738"/>
      <w:r>
        <w:rPr>
          <w:rFonts w:hint="eastAsia" w:hAnsi="Times New Roman" w:cs="Times New Roman"/>
        </w:rPr>
        <w:t>工程车开行规定</w:t>
      </w:r>
      <w:bookmarkEnd w:id="250"/>
      <w:bookmarkEnd w:id="251"/>
      <w:bookmarkEnd w:id="252"/>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53" w:name="_Toc4503"/>
      <w:r>
        <w:rPr>
          <w:rFonts w:hint="eastAsia" w:ascii="宋体" w:hAnsi="宋体" w:eastAsia="宋体" w:cs="宋体"/>
        </w:rPr>
        <w:t>工程车编组及作业应符合下列规定：</w:t>
      </w:r>
      <w:bookmarkEnd w:id="253"/>
    </w:p>
    <w:p>
      <w:pPr>
        <w:pStyle w:val="176"/>
        <w:numPr>
          <w:ilvl w:val="0"/>
          <w:numId w:val="65"/>
        </w:numPr>
        <w:ind w:left="777" w:leftChars="200" w:hanging="357" w:hangingChars="170"/>
      </w:pPr>
      <w:r>
        <w:t>车辆</w:t>
      </w:r>
      <w:r>
        <w:rPr>
          <w:rFonts w:hint="eastAsia"/>
        </w:rPr>
        <w:t>整备作业</w:t>
      </w:r>
      <w:r>
        <w:t>由工程车驾驶员负责</w:t>
      </w:r>
      <w:r>
        <w:rPr>
          <w:rFonts w:hint="eastAsia"/>
        </w:rPr>
        <w:t>；</w:t>
      </w:r>
    </w:p>
    <w:p>
      <w:pPr>
        <w:pStyle w:val="176"/>
        <w:numPr>
          <w:ilvl w:val="0"/>
          <w:numId w:val="65"/>
        </w:numPr>
        <w:ind w:left="777" w:leftChars="200" w:hanging="357" w:hangingChars="170"/>
      </w:pPr>
      <w:r>
        <w:t>施工或装卸货物时做好安全防护及防溜措施。</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54" w:name="_Toc15533"/>
      <w:r>
        <w:rPr>
          <w:rFonts w:hint="eastAsia" w:ascii="宋体" w:hAnsi="宋体" w:eastAsia="宋体" w:cs="宋体"/>
        </w:rPr>
        <w:t>工程车运行应符合下列规定：</w:t>
      </w:r>
      <w:bookmarkEnd w:id="254"/>
    </w:p>
    <w:p>
      <w:pPr>
        <w:pStyle w:val="176"/>
        <w:numPr>
          <w:ilvl w:val="0"/>
          <w:numId w:val="66"/>
        </w:numPr>
        <w:ind w:left="777" w:leftChars="200" w:hanging="357" w:hangingChars="170"/>
      </w:pPr>
      <w:r>
        <w:t>工程车在正线运行时，按行车调度员命令行车，运行过程中不得</w:t>
      </w:r>
      <w:r>
        <w:rPr>
          <w:rFonts w:hint="eastAsia"/>
        </w:rPr>
        <w:t>打开升降平台</w:t>
      </w:r>
      <w:r>
        <w:t>；</w:t>
      </w:r>
    </w:p>
    <w:p>
      <w:pPr>
        <w:pStyle w:val="176"/>
        <w:numPr>
          <w:ilvl w:val="0"/>
          <w:numId w:val="66"/>
        </w:numPr>
        <w:ind w:left="777" w:leftChars="200" w:hanging="357" w:hangingChars="170"/>
      </w:pPr>
      <w:r>
        <w:t>工程车驾驶员与行车调度员联系，掌握运行计划，确认运行进路；</w:t>
      </w:r>
    </w:p>
    <w:p>
      <w:pPr>
        <w:pStyle w:val="176"/>
        <w:numPr>
          <w:ilvl w:val="0"/>
          <w:numId w:val="66"/>
        </w:numPr>
        <w:ind w:left="777" w:leftChars="200" w:hanging="357" w:hangingChars="170"/>
      </w:pPr>
      <w:r>
        <w:t>工程车到达指定的施工作业区域，由行车调度员发布</w:t>
      </w:r>
      <w:r>
        <w:rPr>
          <w:rFonts w:hint="eastAsia"/>
        </w:rPr>
        <w:t>作业</w:t>
      </w:r>
      <w:r>
        <w:t>区域封锁调度命令；</w:t>
      </w:r>
    </w:p>
    <w:p>
      <w:pPr>
        <w:pStyle w:val="176"/>
        <w:numPr>
          <w:ilvl w:val="0"/>
          <w:numId w:val="66"/>
        </w:numPr>
        <w:ind w:left="777" w:leftChars="200" w:hanging="357" w:hangingChars="170"/>
      </w:pPr>
      <w:r>
        <w:t>工程车驾驶员在运行中按规定速度运行，不间断瞭望。</w:t>
      </w:r>
    </w:p>
    <w:p>
      <w:pPr>
        <w:pStyle w:val="107"/>
        <w:spacing w:before="120" w:after="120"/>
        <w:rPr>
          <w:rFonts w:hint="eastAsia" w:hAnsi="Times New Roman" w:cs="Times New Roman"/>
        </w:rPr>
      </w:pPr>
      <w:bookmarkStart w:id="255" w:name="_Toc88567739"/>
      <w:bookmarkStart w:id="256" w:name="_Toc29629"/>
      <w:bookmarkStart w:id="257" w:name="_Toc95"/>
      <w:r>
        <w:rPr>
          <w:rFonts w:hint="eastAsia" w:hAnsi="Times New Roman" w:cs="Times New Roman"/>
        </w:rPr>
        <w:t>设备设施调试规定</w:t>
      </w:r>
      <w:bookmarkEnd w:id="255"/>
      <w:bookmarkEnd w:id="256"/>
      <w:bookmarkEnd w:id="257"/>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58" w:name="_Toc21380"/>
      <w:r>
        <w:rPr>
          <w:rFonts w:hint="eastAsia" w:ascii="宋体" w:hAnsi="宋体" w:eastAsia="宋体" w:cs="宋体"/>
        </w:rPr>
        <w:t>设备设施的调试作业宜安排在非运营期间进行，应制定专项调试方案，明确安全防控措施，按规定开展调试作业。</w:t>
      </w:r>
      <w:bookmarkEnd w:id="258"/>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59" w:name="_Toc23417"/>
      <w:r>
        <w:rPr>
          <w:rFonts w:hint="eastAsia" w:ascii="宋体" w:hAnsi="宋体" w:eastAsia="宋体" w:cs="宋体"/>
        </w:rPr>
        <w:t>运营单位已接管的设备设施，不影响列车运行和乘客服务的调试作业可考虑在运营期间进行；运营单位未接管的车辆、信号等行车设备设施，调试作业宜先安排在试车线上进行，在达到对应功能要求后，方可申请到正线进行调试。</w:t>
      </w:r>
      <w:bookmarkEnd w:id="259"/>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260" w:name="_Toc27441"/>
      <w:r>
        <w:rPr>
          <w:rFonts w:hint="eastAsia" w:ascii="宋体" w:hAnsi="宋体" w:eastAsia="宋体" w:cs="宋体"/>
        </w:rPr>
        <w:t>设备设施调试作业结束后，应对调试使用过的设备设施进行复原、功能和安全检查，确定达到原有功能要求。</w:t>
      </w:r>
      <w:bookmarkEnd w:id="260"/>
    </w:p>
    <w:p>
      <w:pPr>
        <w:pStyle w:val="106"/>
        <w:spacing w:before="240" w:after="240"/>
        <w:rPr>
          <w:rFonts w:hint="eastAsia"/>
          <w:lang w:val="en-US" w:eastAsia="zh-CN"/>
        </w:rPr>
      </w:pPr>
      <w:bookmarkStart w:id="261" w:name="_Toc11510"/>
      <w:bookmarkStart w:id="262" w:name="_Toc88567740"/>
      <w:bookmarkStart w:id="263" w:name="_Toc2188"/>
      <w:r>
        <w:rPr>
          <w:rFonts w:hint="eastAsia"/>
          <w:lang w:val="en-US" w:eastAsia="zh-CN"/>
        </w:rPr>
        <w:t>信号显示</w:t>
      </w:r>
      <w:bookmarkEnd w:id="261"/>
      <w:bookmarkEnd w:id="262"/>
      <w:bookmarkEnd w:id="263"/>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lang w:val="en-US" w:eastAsia="zh-CN"/>
        </w:rPr>
      </w:pPr>
      <w:bookmarkStart w:id="264" w:name="_Toc7629"/>
      <w:bookmarkStart w:id="265" w:name="_Toc13435"/>
      <w:r>
        <w:rPr>
          <w:rFonts w:hint="eastAsia" w:ascii="宋体" w:hAnsi="宋体" w:eastAsia="宋体" w:cs="宋体"/>
          <w:highlight w:val="none"/>
          <w:lang w:val="en-US" w:eastAsia="zh-CN"/>
        </w:rPr>
        <w:t>行车调度人员应按信号的显示要求或显示条件组织行车。</w:t>
      </w:r>
      <w:bookmarkEnd w:id="264"/>
      <w:bookmarkEnd w:id="265"/>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lang w:val="en-US" w:eastAsia="zh-CN"/>
        </w:rPr>
      </w:pPr>
      <w:bookmarkStart w:id="266" w:name="_Toc19969"/>
      <w:bookmarkStart w:id="267" w:name="_Toc23868"/>
      <w:r>
        <w:rPr>
          <w:rFonts w:hint="eastAsia" w:ascii="宋体" w:hAnsi="宋体" w:eastAsia="宋体" w:cs="宋体"/>
          <w:highlight w:val="none"/>
          <w:lang w:val="en-US" w:eastAsia="zh-CN"/>
        </w:rPr>
        <w:t>运营单位应结合信号系统功能特点明确信号显示的方式和含义。</w:t>
      </w:r>
      <w:bookmarkEnd w:id="266"/>
      <w:bookmarkEnd w:id="267"/>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lang w:val="en-US" w:eastAsia="zh-CN"/>
        </w:rPr>
      </w:pPr>
      <w:bookmarkStart w:id="268" w:name="_Toc12157"/>
      <w:bookmarkStart w:id="269" w:name="_Toc1450"/>
      <w:r>
        <w:rPr>
          <w:rFonts w:hint="eastAsia" w:ascii="宋体" w:hAnsi="宋体" w:eastAsia="宋体" w:cs="宋体"/>
          <w:highlight w:val="none"/>
          <w:lang w:val="en-US" w:eastAsia="zh-CN"/>
        </w:rPr>
        <w:t>车载信号显示在列车操作显示屏幕上，显示列车的速度信号和目标距离信号。</w:t>
      </w:r>
      <w:bookmarkEnd w:id="268"/>
      <w:bookmarkEnd w:id="269"/>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lang w:val="en-US" w:eastAsia="zh-CN"/>
        </w:rPr>
      </w:pPr>
      <w:bookmarkStart w:id="270" w:name="_Toc21650"/>
      <w:bookmarkStart w:id="271" w:name="_Toc7326"/>
      <w:r>
        <w:rPr>
          <w:rFonts w:hint="eastAsia" w:ascii="宋体" w:hAnsi="宋体" w:eastAsia="宋体" w:cs="宋体"/>
          <w:highlight w:val="none"/>
          <w:lang w:val="en-US" w:eastAsia="zh-CN"/>
        </w:rPr>
        <w:t>地面信号机的不同颜色显示或组合显示，应明确所代表的运行条件。</w:t>
      </w:r>
      <w:bookmarkEnd w:id="270"/>
      <w:bookmarkEnd w:id="271"/>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lang w:val="en-US" w:eastAsia="zh-CN"/>
        </w:rPr>
      </w:pPr>
      <w:bookmarkStart w:id="272" w:name="_Toc3388"/>
      <w:bookmarkStart w:id="273" w:name="_Toc23069"/>
      <w:r>
        <w:rPr>
          <w:rFonts w:hint="eastAsia" w:ascii="宋体" w:hAnsi="宋体" w:eastAsia="宋体" w:cs="宋体"/>
          <w:highlight w:val="none"/>
          <w:lang w:val="en-US" w:eastAsia="zh-CN"/>
        </w:rPr>
        <w:t>列车司乘人员应按照信号标志的指示驾驶列车运行。</w:t>
      </w:r>
      <w:bookmarkEnd w:id="272"/>
      <w:bookmarkEnd w:id="273"/>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lang w:val="en-US" w:eastAsia="zh-CN"/>
        </w:rPr>
      </w:pPr>
      <w:bookmarkStart w:id="274" w:name="_Toc14051"/>
      <w:bookmarkStart w:id="275" w:name="_Toc10320"/>
      <w:r>
        <w:rPr>
          <w:rFonts w:hint="eastAsia" w:ascii="宋体" w:hAnsi="宋体" w:eastAsia="宋体" w:cs="宋体"/>
          <w:highlight w:val="none"/>
          <w:lang w:val="en-US" w:eastAsia="zh-CN"/>
        </w:rPr>
        <w:t>多个信号同时显示时，按识别等级由低到高依次应为车载信号、地面信号或信号标志、手信号。</w:t>
      </w:r>
      <w:bookmarkEnd w:id="274"/>
      <w:bookmarkEnd w:id="275"/>
    </w:p>
    <w:p>
      <w:pPr>
        <w:pStyle w:val="106"/>
        <w:spacing w:before="240" w:after="240"/>
        <w:rPr>
          <w:rFonts w:hint="eastAsia"/>
          <w:lang w:val="en-US" w:eastAsia="zh-CN"/>
        </w:rPr>
      </w:pPr>
      <w:bookmarkStart w:id="276" w:name="_Toc4474"/>
      <w:bookmarkStart w:id="277" w:name="_Toc88567744"/>
      <w:r>
        <w:rPr>
          <w:rFonts w:hint="eastAsia"/>
          <w:lang w:val="en-US" w:eastAsia="zh-CN"/>
        </w:rPr>
        <w:t>运行及服务关键指标</w:t>
      </w:r>
      <w:bookmarkEnd w:id="276"/>
      <w:bookmarkEnd w:id="277"/>
    </w:p>
    <w:p>
      <w:pPr>
        <w:pStyle w:val="233"/>
        <w:keepNext w:val="0"/>
        <w:keepLines w:val="0"/>
        <w:pageBreakBefore w:val="0"/>
        <w:widowControl/>
        <w:numPr>
          <w:ilvl w:val="1"/>
          <w:numId w:val="0"/>
        </w:numPr>
        <w:kinsoku/>
        <w:wordWrap/>
        <w:overflowPunct/>
        <w:topLinePunct w:val="0"/>
        <w:autoSpaceDE w:val="0"/>
        <w:autoSpaceDN w:val="0"/>
        <w:bidi w:val="0"/>
        <w:adjustRightInd/>
        <w:snapToGrid/>
        <w:ind w:firstLine="420" w:firstLineChars="200"/>
        <w:textAlignment w:val="auto"/>
      </w:pPr>
      <w:r>
        <w:rPr>
          <w:rFonts w:hint="eastAsia"/>
        </w:rPr>
        <w:t>运行及</w:t>
      </w:r>
      <w:r>
        <w:t>服务</w:t>
      </w:r>
      <w:r>
        <w:rPr>
          <w:rFonts w:hint="eastAsia"/>
        </w:rPr>
        <w:t>关键指标包括车辆利用、行驶里程、运力与运能、运行速度、</w:t>
      </w:r>
      <w:r>
        <w:rPr>
          <w:rFonts w:hint="eastAsia"/>
          <w:lang w:eastAsia="zh-CN"/>
        </w:rPr>
        <w:t>客运服务、</w:t>
      </w:r>
      <w:r>
        <w:rPr>
          <w:rFonts w:hint="eastAsia"/>
        </w:rPr>
        <w:t>计划兑现、延误事件、清客和未完成</w:t>
      </w:r>
      <w:r>
        <w:t>单程等指标</w:t>
      </w:r>
      <w:r>
        <w:rPr>
          <w:rFonts w:hint="eastAsia"/>
        </w:rPr>
        <w:t>，具体关键指标见表2，定义及计算方法</w:t>
      </w:r>
      <w:r>
        <w:rPr>
          <w:rFonts w:hint="eastAsia"/>
          <w:lang w:eastAsia="zh-CN"/>
        </w:rPr>
        <w:t>应符合</w:t>
      </w:r>
      <w:r>
        <w:rPr>
          <w:rFonts w:hint="eastAsia"/>
        </w:rPr>
        <w:t>附录A</w:t>
      </w:r>
      <w:r>
        <w:rPr>
          <w:rFonts w:hint="eastAsia"/>
          <w:lang w:eastAsia="zh-CN"/>
        </w:rPr>
        <w:t>的规定</w:t>
      </w:r>
      <w:r>
        <w:rPr>
          <w:rFonts w:hint="eastAsia"/>
        </w:rPr>
        <w:t>。</w:t>
      </w:r>
    </w:p>
    <w:p>
      <w:pPr>
        <w:pStyle w:val="243"/>
        <w:spacing w:before="156" w:after="156"/>
      </w:pPr>
      <w:r>
        <w:rPr>
          <w:rFonts w:hint="eastAsia"/>
        </w:rPr>
        <w:t>运行及</w:t>
      </w:r>
      <w:r>
        <w:t>服务</w:t>
      </w:r>
      <w:r>
        <w:rPr>
          <w:rFonts w:hint="eastAsia"/>
        </w:rPr>
        <w:t>关键指标</w:t>
      </w:r>
    </w:p>
    <w:tbl>
      <w:tblPr>
        <w:tblStyle w:val="29"/>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3"/>
        <w:gridCol w:w="4926"/>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Align w:val="center"/>
          </w:tcPr>
          <w:p>
            <w:pPr>
              <w:pStyle w:val="233"/>
              <w:ind w:firstLine="0" w:firstLineChars="0"/>
              <w:jc w:val="center"/>
              <w:rPr>
                <w:rFonts w:hAnsi="宋体"/>
                <w:sz w:val="18"/>
                <w:szCs w:val="18"/>
              </w:rPr>
            </w:pPr>
            <w:r>
              <w:rPr>
                <w:rFonts w:hint="eastAsia" w:hAnsi="宋体"/>
                <w:sz w:val="18"/>
                <w:szCs w:val="18"/>
              </w:rPr>
              <w:t>分类</w:t>
            </w:r>
          </w:p>
        </w:tc>
        <w:tc>
          <w:tcPr>
            <w:tcW w:w="2576" w:type="pct"/>
            <w:vAlign w:val="center"/>
          </w:tcPr>
          <w:p>
            <w:pPr>
              <w:pStyle w:val="233"/>
              <w:ind w:firstLine="0" w:firstLineChars="0"/>
              <w:jc w:val="center"/>
              <w:rPr>
                <w:rFonts w:hAnsi="宋体"/>
                <w:sz w:val="18"/>
                <w:szCs w:val="18"/>
              </w:rPr>
            </w:pPr>
            <w:r>
              <w:rPr>
                <w:rFonts w:hint="eastAsia" w:hAnsi="宋体"/>
                <w:sz w:val="18"/>
                <w:szCs w:val="18"/>
              </w:rPr>
              <w:t>指标</w:t>
            </w:r>
          </w:p>
        </w:tc>
        <w:tc>
          <w:tcPr>
            <w:tcW w:w="1255" w:type="pct"/>
            <w:vAlign w:val="center"/>
          </w:tcPr>
          <w:p>
            <w:pPr>
              <w:pStyle w:val="233"/>
              <w:ind w:firstLine="0" w:firstLineChars="0"/>
              <w:jc w:val="center"/>
              <w:rPr>
                <w:rFonts w:hAnsi="宋体"/>
                <w:sz w:val="18"/>
                <w:szCs w:val="18"/>
              </w:rPr>
            </w:pPr>
            <w:r>
              <w:rPr>
                <w:rFonts w:hint="eastAsia" w:hAnsi="宋体"/>
                <w:sz w:val="18"/>
                <w:szCs w:val="18"/>
              </w:rPr>
              <w:t>定义及计算方法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restart"/>
            <w:vAlign w:val="center"/>
          </w:tcPr>
          <w:p>
            <w:pPr>
              <w:pStyle w:val="233"/>
              <w:ind w:firstLine="0" w:firstLineChars="0"/>
              <w:jc w:val="center"/>
              <w:rPr>
                <w:rFonts w:hAnsi="宋体"/>
                <w:sz w:val="18"/>
                <w:szCs w:val="18"/>
              </w:rPr>
            </w:pPr>
            <w:r>
              <w:rPr>
                <w:rFonts w:hint="eastAsia" w:hAnsi="宋体"/>
                <w:sz w:val="18"/>
                <w:szCs w:val="18"/>
              </w:rPr>
              <w:t>车辆利用</w:t>
            </w:r>
          </w:p>
        </w:tc>
        <w:tc>
          <w:tcPr>
            <w:tcW w:w="2576" w:type="pct"/>
            <w:vAlign w:val="center"/>
          </w:tcPr>
          <w:p>
            <w:pPr>
              <w:pStyle w:val="233"/>
              <w:ind w:firstLine="0" w:firstLineChars="0"/>
              <w:jc w:val="both"/>
              <w:rPr>
                <w:rFonts w:hAnsi="宋体"/>
                <w:sz w:val="18"/>
                <w:szCs w:val="18"/>
              </w:rPr>
            </w:pPr>
            <w:r>
              <w:rPr>
                <w:rFonts w:hint="eastAsia" w:hAnsi="宋体"/>
                <w:sz w:val="18"/>
                <w:szCs w:val="18"/>
              </w:rPr>
              <w:t>配属列车数</w:t>
            </w:r>
          </w:p>
        </w:tc>
        <w:tc>
          <w:tcPr>
            <w:tcW w:w="1255" w:type="pct"/>
            <w:vAlign w:val="center"/>
          </w:tcPr>
          <w:p>
            <w:pPr>
              <w:pStyle w:val="233"/>
              <w:ind w:firstLine="0" w:firstLineChars="0"/>
              <w:jc w:val="center"/>
              <w:rPr>
                <w:rFonts w:hAnsi="宋体"/>
                <w:sz w:val="18"/>
                <w:szCs w:val="18"/>
                <w:highlight w:val="yellow"/>
              </w:rPr>
            </w:pPr>
            <w:r>
              <w:rPr>
                <w:rFonts w:hint="eastAsia" w:hAnsi="宋体"/>
                <w:sz w:val="18"/>
                <w:szCs w:val="18"/>
              </w:rP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continue"/>
            <w:vAlign w:val="center"/>
          </w:tcPr>
          <w:p>
            <w:pPr>
              <w:pStyle w:val="233"/>
              <w:ind w:firstLine="0" w:firstLineChars="0"/>
              <w:jc w:val="center"/>
              <w:rPr>
                <w:rFonts w:hAnsi="宋体"/>
                <w:sz w:val="18"/>
                <w:szCs w:val="18"/>
              </w:rPr>
            </w:pPr>
          </w:p>
        </w:tc>
        <w:tc>
          <w:tcPr>
            <w:tcW w:w="2576" w:type="pct"/>
            <w:vAlign w:val="center"/>
          </w:tcPr>
          <w:p>
            <w:pPr>
              <w:pStyle w:val="233"/>
              <w:ind w:firstLine="0" w:firstLineChars="0"/>
              <w:jc w:val="both"/>
              <w:rPr>
                <w:rFonts w:hAnsi="宋体"/>
                <w:sz w:val="18"/>
                <w:szCs w:val="18"/>
              </w:rPr>
            </w:pPr>
            <w:r>
              <w:rPr>
                <w:rFonts w:hint="eastAsia" w:hAnsi="宋体"/>
                <w:sz w:val="18"/>
                <w:szCs w:val="18"/>
              </w:rPr>
              <w:t>配属车辆数</w:t>
            </w:r>
          </w:p>
        </w:tc>
        <w:tc>
          <w:tcPr>
            <w:tcW w:w="1255" w:type="pct"/>
            <w:vAlign w:val="center"/>
          </w:tcPr>
          <w:p>
            <w:pPr>
              <w:pStyle w:val="233"/>
              <w:ind w:firstLine="0" w:firstLineChars="0"/>
              <w:jc w:val="center"/>
              <w:rPr>
                <w:rFonts w:hAnsi="宋体"/>
                <w:sz w:val="18"/>
                <w:szCs w:val="18"/>
              </w:rPr>
            </w:pPr>
            <w:r>
              <w:rPr>
                <w:rFonts w:hint="eastAsia" w:hAnsi="宋体"/>
                <w:sz w:val="18"/>
                <w:szCs w:val="18"/>
              </w:rP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continue"/>
            <w:vAlign w:val="center"/>
          </w:tcPr>
          <w:p>
            <w:pPr>
              <w:pStyle w:val="233"/>
              <w:ind w:firstLine="0" w:firstLineChars="0"/>
              <w:jc w:val="center"/>
              <w:rPr>
                <w:rFonts w:hAnsi="宋体"/>
                <w:sz w:val="18"/>
                <w:szCs w:val="18"/>
              </w:rPr>
            </w:pPr>
          </w:p>
        </w:tc>
        <w:tc>
          <w:tcPr>
            <w:tcW w:w="2576" w:type="pct"/>
            <w:vAlign w:val="center"/>
          </w:tcPr>
          <w:p>
            <w:pPr>
              <w:pStyle w:val="233"/>
              <w:ind w:firstLine="0" w:firstLineChars="0"/>
              <w:jc w:val="both"/>
              <w:rPr>
                <w:rFonts w:hAnsi="宋体"/>
                <w:sz w:val="18"/>
                <w:szCs w:val="18"/>
              </w:rPr>
            </w:pPr>
            <w:r>
              <w:rPr>
                <w:rFonts w:hint="eastAsia" w:hAnsi="宋体"/>
                <w:sz w:val="18"/>
                <w:szCs w:val="18"/>
              </w:rPr>
              <w:t>上线列车数</w:t>
            </w:r>
          </w:p>
        </w:tc>
        <w:tc>
          <w:tcPr>
            <w:tcW w:w="1255" w:type="pct"/>
            <w:vAlign w:val="center"/>
          </w:tcPr>
          <w:p>
            <w:pPr>
              <w:pStyle w:val="233"/>
              <w:ind w:firstLine="0" w:firstLineChars="0"/>
              <w:jc w:val="center"/>
              <w:rPr>
                <w:rFonts w:hAnsi="宋体"/>
                <w:sz w:val="18"/>
                <w:szCs w:val="18"/>
              </w:rPr>
            </w:pPr>
            <w:r>
              <w:rPr>
                <w:rFonts w:hint="eastAsia" w:hAnsi="宋体"/>
                <w:sz w:val="18"/>
                <w:szCs w:val="18"/>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continue"/>
            <w:vAlign w:val="center"/>
          </w:tcPr>
          <w:p>
            <w:pPr>
              <w:pStyle w:val="233"/>
              <w:ind w:firstLine="0" w:firstLineChars="0"/>
              <w:jc w:val="center"/>
              <w:rPr>
                <w:rFonts w:hAnsi="宋体"/>
                <w:sz w:val="18"/>
                <w:szCs w:val="18"/>
              </w:rPr>
            </w:pPr>
          </w:p>
        </w:tc>
        <w:tc>
          <w:tcPr>
            <w:tcW w:w="2576" w:type="pct"/>
            <w:vAlign w:val="center"/>
          </w:tcPr>
          <w:p>
            <w:pPr>
              <w:pStyle w:val="233"/>
              <w:ind w:firstLine="0" w:firstLineChars="0"/>
              <w:jc w:val="both"/>
              <w:rPr>
                <w:rFonts w:hAnsi="宋体"/>
                <w:sz w:val="18"/>
                <w:szCs w:val="18"/>
              </w:rPr>
            </w:pPr>
            <w:r>
              <w:rPr>
                <w:rFonts w:hint="eastAsia" w:hAnsi="宋体"/>
                <w:sz w:val="18"/>
                <w:szCs w:val="18"/>
              </w:rPr>
              <w:t>列车上线率</w:t>
            </w:r>
          </w:p>
        </w:tc>
        <w:tc>
          <w:tcPr>
            <w:tcW w:w="1255" w:type="pct"/>
            <w:vAlign w:val="center"/>
          </w:tcPr>
          <w:p>
            <w:pPr>
              <w:pStyle w:val="233"/>
              <w:ind w:firstLine="0" w:firstLineChars="0"/>
              <w:jc w:val="center"/>
              <w:rPr>
                <w:rFonts w:hAnsi="宋体"/>
                <w:sz w:val="18"/>
                <w:szCs w:val="18"/>
              </w:rPr>
            </w:pPr>
            <w:r>
              <w:rPr>
                <w:rFonts w:hint="eastAsia" w:hAnsi="宋体"/>
                <w:sz w:val="18"/>
                <w:szCs w:val="18"/>
              </w:rP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continue"/>
            <w:vAlign w:val="center"/>
          </w:tcPr>
          <w:p>
            <w:pPr>
              <w:pStyle w:val="233"/>
              <w:ind w:firstLine="0" w:firstLineChars="0"/>
              <w:jc w:val="center"/>
              <w:rPr>
                <w:rFonts w:hAnsi="宋体"/>
                <w:sz w:val="18"/>
                <w:szCs w:val="18"/>
              </w:rPr>
            </w:pPr>
          </w:p>
        </w:tc>
        <w:tc>
          <w:tcPr>
            <w:tcW w:w="2576" w:type="pct"/>
            <w:vAlign w:val="center"/>
          </w:tcPr>
          <w:p>
            <w:pPr>
              <w:pStyle w:val="233"/>
              <w:ind w:firstLine="0" w:firstLineChars="0"/>
              <w:jc w:val="both"/>
              <w:rPr>
                <w:rFonts w:hAnsi="宋体"/>
                <w:sz w:val="18"/>
                <w:szCs w:val="18"/>
              </w:rPr>
            </w:pPr>
            <w:r>
              <w:rPr>
                <w:rFonts w:hint="eastAsia" w:hAnsi="宋体"/>
                <w:sz w:val="18"/>
                <w:szCs w:val="18"/>
              </w:rPr>
              <w:t>每公里配车数</w:t>
            </w:r>
          </w:p>
        </w:tc>
        <w:tc>
          <w:tcPr>
            <w:tcW w:w="1255" w:type="pct"/>
            <w:vAlign w:val="center"/>
          </w:tcPr>
          <w:p>
            <w:pPr>
              <w:pStyle w:val="233"/>
              <w:ind w:firstLine="0" w:firstLineChars="0"/>
              <w:jc w:val="center"/>
              <w:rPr>
                <w:rFonts w:hAnsi="宋体"/>
                <w:sz w:val="18"/>
                <w:szCs w:val="18"/>
              </w:rPr>
            </w:pPr>
            <w:r>
              <w:rPr>
                <w:rFonts w:hint="eastAsia" w:hAnsi="宋体"/>
                <w:sz w:val="18"/>
                <w:szCs w:val="18"/>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restart"/>
            <w:vAlign w:val="center"/>
          </w:tcPr>
          <w:p>
            <w:pPr>
              <w:pStyle w:val="233"/>
              <w:ind w:firstLine="0" w:firstLineChars="0"/>
              <w:jc w:val="center"/>
              <w:rPr>
                <w:rFonts w:hAnsi="宋体"/>
                <w:sz w:val="18"/>
                <w:szCs w:val="18"/>
              </w:rPr>
            </w:pPr>
            <w:r>
              <w:rPr>
                <w:rFonts w:hint="eastAsia" w:hAnsi="宋体"/>
                <w:sz w:val="18"/>
                <w:szCs w:val="18"/>
              </w:rPr>
              <w:t>行驶里程</w:t>
            </w:r>
          </w:p>
        </w:tc>
        <w:tc>
          <w:tcPr>
            <w:tcW w:w="2576" w:type="pct"/>
            <w:vAlign w:val="center"/>
          </w:tcPr>
          <w:p>
            <w:pPr>
              <w:pStyle w:val="233"/>
              <w:ind w:firstLine="0" w:firstLineChars="0"/>
              <w:jc w:val="both"/>
              <w:rPr>
                <w:rFonts w:hAnsi="宋体"/>
                <w:sz w:val="18"/>
                <w:szCs w:val="18"/>
              </w:rPr>
            </w:pPr>
            <w:r>
              <w:rPr>
                <w:rFonts w:hint="eastAsia" w:hAnsi="宋体"/>
                <w:sz w:val="18"/>
                <w:szCs w:val="18"/>
              </w:rPr>
              <w:t>运营车公里</w:t>
            </w:r>
          </w:p>
        </w:tc>
        <w:tc>
          <w:tcPr>
            <w:tcW w:w="1255" w:type="pct"/>
            <w:vAlign w:val="center"/>
          </w:tcPr>
          <w:p>
            <w:pPr>
              <w:pStyle w:val="233"/>
              <w:ind w:firstLine="0" w:firstLineChars="0"/>
              <w:jc w:val="center"/>
              <w:rPr>
                <w:rFonts w:hAnsi="宋体"/>
                <w:sz w:val="18"/>
                <w:szCs w:val="18"/>
              </w:rPr>
            </w:pPr>
            <w:r>
              <w:rPr>
                <w:rFonts w:hint="eastAsia" w:hAnsi="宋体"/>
                <w:sz w:val="18"/>
                <w:szCs w:val="18"/>
              </w:rP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continue"/>
            <w:vAlign w:val="center"/>
          </w:tcPr>
          <w:p>
            <w:pPr>
              <w:pStyle w:val="233"/>
              <w:ind w:firstLine="0" w:firstLineChars="0"/>
              <w:jc w:val="center"/>
              <w:rPr>
                <w:rFonts w:hAnsi="宋体"/>
                <w:sz w:val="18"/>
                <w:szCs w:val="18"/>
              </w:rPr>
            </w:pPr>
          </w:p>
        </w:tc>
        <w:tc>
          <w:tcPr>
            <w:tcW w:w="2576" w:type="pct"/>
            <w:vAlign w:val="center"/>
          </w:tcPr>
          <w:p>
            <w:pPr>
              <w:pStyle w:val="233"/>
              <w:ind w:firstLine="0" w:firstLineChars="0"/>
              <w:jc w:val="both"/>
              <w:rPr>
                <w:rFonts w:hAnsi="宋体"/>
                <w:sz w:val="18"/>
                <w:szCs w:val="18"/>
              </w:rPr>
            </w:pPr>
            <w:r>
              <w:rPr>
                <w:rFonts w:hint="eastAsia" w:hAnsi="宋体"/>
                <w:sz w:val="18"/>
                <w:szCs w:val="18"/>
              </w:rPr>
              <w:t>走行车公里</w:t>
            </w:r>
          </w:p>
        </w:tc>
        <w:tc>
          <w:tcPr>
            <w:tcW w:w="1255" w:type="pct"/>
            <w:vAlign w:val="center"/>
          </w:tcPr>
          <w:p>
            <w:pPr>
              <w:pStyle w:val="233"/>
              <w:ind w:firstLine="0" w:firstLineChars="0"/>
              <w:jc w:val="center"/>
              <w:rPr>
                <w:rFonts w:hAnsi="宋体"/>
                <w:sz w:val="18"/>
                <w:szCs w:val="18"/>
              </w:rPr>
            </w:pPr>
            <w:r>
              <w:rPr>
                <w:rFonts w:hint="eastAsia" w:hAnsi="宋体"/>
                <w:sz w:val="18"/>
                <w:szCs w:val="18"/>
              </w:rPr>
              <w:t>A.7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continue"/>
            <w:vAlign w:val="center"/>
          </w:tcPr>
          <w:p>
            <w:pPr>
              <w:pStyle w:val="233"/>
              <w:ind w:firstLine="0" w:firstLineChars="0"/>
              <w:jc w:val="center"/>
              <w:rPr>
                <w:rFonts w:hAnsi="宋体"/>
                <w:sz w:val="18"/>
                <w:szCs w:val="18"/>
              </w:rPr>
            </w:pPr>
          </w:p>
        </w:tc>
        <w:tc>
          <w:tcPr>
            <w:tcW w:w="2576" w:type="pct"/>
            <w:vAlign w:val="center"/>
          </w:tcPr>
          <w:p>
            <w:pPr>
              <w:pStyle w:val="233"/>
              <w:ind w:firstLine="0" w:firstLineChars="0"/>
              <w:jc w:val="both"/>
              <w:rPr>
                <w:rFonts w:hAnsi="宋体"/>
                <w:sz w:val="18"/>
                <w:szCs w:val="18"/>
              </w:rPr>
            </w:pPr>
            <w:r>
              <w:rPr>
                <w:rFonts w:hint="eastAsia" w:hAnsi="宋体"/>
                <w:sz w:val="18"/>
                <w:szCs w:val="18"/>
              </w:rPr>
              <w:t>车公里利用率</w:t>
            </w:r>
          </w:p>
        </w:tc>
        <w:tc>
          <w:tcPr>
            <w:tcW w:w="1255" w:type="pct"/>
            <w:vAlign w:val="center"/>
          </w:tcPr>
          <w:p>
            <w:pPr>
              <w:pStyle w:val="233"/>
              <w:ind w:firstLine="0" w:firstLineChars="0"/>
              <w:jc w:val="center"/>
              <w:rPr>
                <w:rFonts w:hAnsi="宋体"/>
                <w:sz w:val="18"/>
                <w:szCs w:val="18"/>
              </w:rPr>
            </w:pPr>
            <w:r>
              <w:rPr>
                <w:rFonts w:hint="eastAsia" w:hAnsi="宋体"/>
                <w:sz w:val="18"/>
                <w:szCs w:val="18"/>
              </w:rPr>
              <w:t>A.8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restart"/>
            <w:vAlign w:val="center"/>
          </w:tcPr>
          <w:p>
            <w:pPr>
              <w:pStyle w:val="233"/>
              <w:ind w:firstLine="0" w:firstLineChars="0"/>
              <w:jc w:val="center"/>
              <w:rPr>
                <w:rFonts w:hAnsi="宋体"/>
                <w:sz w:val="18"/>
                <w:szCs w:val="18"/>
              </w:rPr>
            </w:pPr>
            <w:r>
              <w:rPr>
                <w:rFonts w:hint="eastAsia" w:hAnsi="宋体"/>
                <w:sz w:val="18"/>
                <w:szCs w:val="18"/>
              </w:rPr>
              <w:t>运力与运能</w:t>
            </w:r>
          </w:p>
        </w:tc>
        <w:tc>
          <w:tcPr>
            <w:tcW w:w="2576" w:type="pct"/>
            <w:vAlign w:val="center"/>
          </w:tcPr>
          <w:p>
            <w:pPr>
              <w:pStyle w:val="233"/>
              <w:ind w:firstLine="0" w:firstLineChars="0"/>
              <w:jc w:val="both"/>
              <w:rPr>
                <w:rFonts w:hAnsi="宋体"/>
                <w:sz w:val="18"/>
                <w:szCs w:val="18"/>
              </w:rPr>
            </w:pPr>
            <w:r>
              <w:rPr>
                <w:rFonts w:hint="eastAsia" w:hAnsi="宋体"/>
                <w:sz w:val="18"/>
                <w:szCs w:val="18"/>
              </w:rPr>
              <w:t>列车平均编组数</w:t>
            </w:r>
          </w:p>
        </w:tc>
        <w:tc>
          <w:tcPr>
            <w:tcW w:w="1255" w:type="pct"/>
            <w:vAlign w:val="center"/>
          </w:tcPr>
          <w:p>
            <w:pPr>
              <w:pStyle w:val="233"/>
              <w:ind w:firstLine="0" w:firstLineChars="0"/>
              <w:jc w:val="center"/>
              <w:rPr>
                <w:rFonts w:hAnsi="宋体"/>
                <w:sz w:val="18"/>
                <w:szCs w:val="18"/>
              </w:rPr>
            </w:pPr>
            <w:r>
              <w:rPr>
                <w:rFonts w:hint="eastAsia" w:hAnsi="宋体"/>
                <w:sz w:val="18"/>
                <w:szCs w:val="18"/>
              </w:rPr>
              <w:t>A.9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continue"/>
          </w:tcPr>
          <w:p>
            <w:pPr>
              <w:pStyle w:val="233"/>
              <w:ind w:firstLine="0" w:firstLineChars="0"/>
              <w:jc w:val="center"/>
              <w:rPr>
                <w:rFonts w:hAnsi="宋体"/>
                <w:sz w:val="18"/>
                <w:szCs w:val="18"/>
              </w:rPr>
            </w:pPr>
          </w:p>
        </w:tc>
        <w:tc>
          <w:tcPr>
            <w:tcW w:w="2576" w:type="pct"/>
            <w:vAlign w:val="center"/>
          </w:tcPr>
          <w:p>
            <w:pPr>
              <w:pStyle w:val="233"/>
              <w:ind w:firstLine="0" w:firstLineChars="0"/>
              <w:jc w:val="both"/>
              <w:rPr>
                <w:rFonts w:hAnsi="宋体"/>
                <w:sz w:val="18"/>
                <w:szCs w:val="18"/>
              </w:rPr>
            </w:pPr>
            <w:r>
              <w:rPr>
                <w:rFonts w:hint="eastAsia" w:hAnsi="宋体"/>
                <w:sz w:val="18"/>
                <w:szCs w:val="18"/>
              </w:rPr>
              <w:t>列车定员</w:t>
            </w:r>
          </w:p>
        </w:tc>
        <w:tc>
          <w:tcPr>
            <w:tcW w:w="1255" w:type="pct"/>
            <w:vAlign w:val="center"/>
          </w:tcPr>
          <w:p>
            <w:pPr>
              <w:pStyle w:val="233"/>
              <w:ind w:firstLine="0" w:firstLineChars="0"/>
              <w:jc w:val="center"/>
              <w:rPr>
                <w:rFonts w:hAnsi="宋体"/>
                <w:sz w:val="18"/>
                <w:szCs w:val="18"/>
              </w:rPr>
            </w:pPr>
            <w:r>
              <w:rPr>
                <w:rFonts w:hint="eastAsia" w:hAnsi="宋体"/>
                <w:sz w:val="18"/>
                <w:szCs w:val="18"/>
              </w:rPr>
              <w:t>A.10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continue"/>
          </w:tcPr>
          <w:p>
            <w:pPr>
              <w:pStyle w:val="233"/>
              <w:ind w:firstLine="0" w:firstLineChars="0"/>
              <w:jc w:val="center"/>
              <w:rPr>
                <w:rFonts w:hAnsi="宋体"/>
                <w:sz w:val="18"/>
                <w:szCs w:val="18"/>
              </w:rPr>
            </w:pPr>
          </w:p>
        </w:tc>
        <w:tc>
          <w:tcPr>
            <w:tcW w:w="2576" w:type="pct"/>
            <w:vAlign w:val="center"/>
          </w:tcPr>
          <w:p>
            <w:pPr>
              <w:pStyle w:val="233"/>
              <w:ind w:firstLine="0" w:firstLineChars="0"/>
              <w:jc w:val="both"/>
              <w:rPr>
                <w:rFonts w:hAnsi="宋体"/>
                <w:sz w:val="18"/>
                <w:szCs w:val="18"/>
              </w:rPr>
            </w:pPr>
            <w:r>
              <w:rPr>
                <w:rFonts w:hint="eastAsia" w:hAnsi="宋体"/>
                <w:sz w:val="18"/>
                <w:szCs w:val="18"/>
              </w:rPr>
              <w:t>运力</w:t>
            </w:r>
          </w:p>
        </w:tc>
        <w:tc>
          <w:tcPr>
            <w:tcW w:w="1255" w:type="pct"/>
            <w:vAlign w:val="center"/>
          </w:tcPr>
          <w:p>
            <w:pPr>
              <w:pStyle w:val="233"/>
              <w:ind w:firstLine="0" w:firstLineChars="0"/>
              <w:jc w:val="center"/>
              <w:rPr>
                <w:rFonts w:hAnsi="宋体"/>
                <w:sz w:val="18"/>
                <w:szCs w:val="18"/>
              </w:rPr>
            </w:pPr>
            <w:r>
              <w:rPr>
                <w:rFonts w:hint="eastAsia" w:hAnsi="宋体"/>
                <w:sz w:val="18"/>
                <w:szCs w:val="18"/>
              </w:rPr>
              <w:t>A.11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continue"/>
          </w:tcPr>
          <w:p>
            <w:pPr>
              <w:pStyle w:val="233"/>
              <w:ind w:firstLine="0" w:firstLineChars="0"/>
              <w:jc w:val="center"/>
              <w:rPr>
                <w:rFonts w:hAnsi="宋体"/>
                <w:sz w:val="18"/>
                <w:szCs w:val="18"/>
              </w:rPr>
            </w:pPr>
          </w:p>
        </w:tc>
        <w:tc>
          <w:tcPr>
            <w:tcW w:w="2576" w:type="pct"/>
            <w:vAlign w:val="center"/>
          </w:tcPr>
          <w:p>
            <w:pPr>
              <w:pStyle w:val="233"/>
              <w:ind w:firstLine="0" w:firstLineChars="0"/>
              <w:jc w:val="both"/>
              <w:rPr>
                <w:rFonts w:hAnsi="宋体"/>
                <w:sz w:val="18"/>
                <w:szCs w:val="18"/>
              </w:rPr>
            </w:pPr>
            <w:r>
              <w:rPr>
                <w:rFonts w:hint="eastAsia" w:hAnsi="宋体"/>
                <w:sz w:val="18"/>
                <w:szCs w:val="18"/>
              </w:rPr>
              <w:t>客位里程</w:t>
            </w:r>
          </w:p>
        </w:tc>
        <w:tc>
          <w:tcPr>
            <w:tcW w:w="1255" w:type="pct"/>
            <w:vAlign w:val="center"/>
          </w:tcPr>
          <w:p>
            <w:pPr>
              <w:pStyle w:val="233"/>
              <w:ind w:firstLine="0" w:firstLineChars="0"/>
              <w:jc w:val="center"/>
              <w:rPr>
                <w:rFonts w:hAnsi="宋体"/>
                <w:sz w:val="18"/>
                <w:szCs w:val="18"/>
              </w:rPr>
            </w:pPr>
            <w:r>
              <w:rPr>
                <w:rFonts w:hint="eastAsia" w:hAnsi="宋体"/>
                <w:sz w:val="18"/>
                <w:szCs w:val="18"/>
              </w:rPr>
              <w:t>A.12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continue"/>
          </w:tcPr>
          <w:p>
            <w:pPr>
              <w:pStyle w:val="233"/>
              <w:ind w:firstLine="0" w:firstLineChars="0"/>
              <w:jc w:val="center"/>
              <w:rPr>
                <w:rFonts w:hAnsi="宋体"/>
                <w:sz w:val="18"/>
                <w:szCs w:val="18"/>
              </w:rPr>
            </w:pPr>
          </w:p>
        </w:tc>
        <w:tc>
          <w:tcPr>
            <w:tcW w:w="2576" w:type="pct"/>
            <w:vAlign w:val="center"/>
          </w:tcPr>
          <w:p>
            <w:pPr>
              <w:pStyle w:val="233"/>
              <w:ind w:firstLine="0" w:firstLineChars="0"/>
              <w:jc w:val="both"/>
              <w:rPr>
                <w:rFonts w:hAnsi="宋体"/>
                <w:sz w:val="18"/>
                <w:szCs w:val="18"/>
              </w:rPr>
            </w:pPr>
            <w:r>
              <w:rPr>
                <w:rFonts w:hint="eastAsia" w:hAnsi="宋体"/>
                <w:sz w:val="18"/>
                <w:szCs w:val="18"/>
              </w:rPr>
              <w:t>平均满载率</w:t>
            </w:r>
          </w:p>
        </w:tc>
        <w:tc>
          <w:tcPr>
            <w:tcW w:w="1255" w:type="pct"/>
            <w:vAlign w:val="center"/>
          </w:tcPr>
          <w:p>
            <w:pPr>
              <w:pStyle w:val="233"/>
              <w:ind w:firstLine="0" w:firstLineChars="0"/>
              <w:jc w:val="center"/>
              <w:rPr>
                <w:rFonts w:hAnsi="宋体"/>
                <w:sz w:val="18"/>
                <w:szCs w:val="18"/>
              </w:rPr>
            </w:pPr>
            <w:r>
              <w:rPr>
                <w:rFonts w:hint="eastAsia" w:hAnsi="宋体"/>
                <w:sz w:val="18"/>
                <w:szCs w:val="18"/>
              </w:rPr>
              <w:t>A.13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restart"/>
            <w:vAlign w:val="center"/>
          </w:tcPr>
          <w:p>
            <w:pPr>
              <w:pStyle w:val="233"/>
              <w:ind w:firstLine="0" w:firstLineChars="0"/>
              <w:jc w:val="center"/>
              <w:rPr>
                <w:rFonts w:hAnsi="宋体"/>
                <w:sz w:val="18"/>
                <w:szCs w:val="18"/>
              </w:rPr>
            </w:pPr>
            <w:r>
              <w:rPr>
                <w:rFonts w:hint="eastAsia" w:hAnsi="宋体"/>
                <w:sz w:val="18"/>
                <w:szCs w:val="18"/>
              </w:rPr>
              <w:t>运行速度</w:t>
            </w:r>
          </w:p>
        </w:tc>
        <w:tc>
          <w:tcPr>
            <w:tcW w:w="2576" w:type="pct"/>
            <w:vAlign w:val="center"/>
          </w:tcPr>
          <w:p>
            <w:pPr>
              <w:pStyle w:val="233"/>
              <w:ind w:firstLine="0" w:firstLineChars="0"/>
              <w:jc w:val="both"/>
              <w:rPr>
                <w:rFonts w:hint="eastAsia" w:ascii="宋体" w:hAnsi="宋体" w:eastAsia="宋体" w:cs="Times New Roman"/>
                <w:sz w:val="18"/>
                <w:szCs w:val="18"/>
                <w:lang w:val="en-US" w:eastAsia="zh-CN" w:bidi="ar-SA"/>
              </w:rPr>
            </w:pPr>
            <w:r>
              <w:rPr>
                <w:rFonts w:hint="eastAsia" w:hAnsi="宋体"/>
                <w:sz w:val="18"/>
                <w:szCs w:val="18"/>
              </w:rPr>
              <w:t>技术速度</w:t>
            </w:r>
          </w:p>
        </w:tc>
        <w:tc>
          <w:tcPr>
            <w:tcW w:w="1255" w:type="pct"/>
            <w:vAlign w:val="center"/>
          </w:tcPr>
          <w:p>
            <w:pPr>
              <w:pStyle w:val="233"/>
              <w:ind w:firstLine="0" w:firstLineChars="0"/>
              <w:jc w:val="center"/>
              <w:rPr>
                <w:rFonts w:hint="eastAsia" w:ascii="宋体" w:hAnsi="宋体" w:eastAsia="宋体" w:cs="Times New Roman"/>
                <w:sz w:val="18"/>
                <w:szCs w:val="18"/>
                <w:lang w:val="en-US" w:eastAsia="zh-CN" w:bidi="ar-SA"/>
              </w:rPr>
            </w:pPr>
            <w:r>
              <w:rPr>
                <w:rFonts w:hint="eastAsia" w:hAnsi="宋体"/>
                <w:sz w:val="18"/>
                <w:szCs w:val="18"/>
              </w:rPr>
              <w:t>A.14.1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continue"/>
            <w:vAlign w:val="center"/>
          </w:tcPr>
          <w:p>
            <w:pPr>
              <w:pStyle w:val="233"/>
              <w:ind w:firstLine="0" w:firstLineChars="0"/>
              <w:jc w:val="center"/>
              <w:rPr>
                <w:rFonts w:hAnsi="宋体"/>
                <w:sz w:val="18"/>
                <w:szCs w:val="18"/>
              </w:rPr>
            </w:pPr>
          </w:p>
        </w:tc>
        <w:tc>
          <w:tcPr>
            <w:tcW w:w="2576" w:type="pct"/>
            <w:vAlign w:val="center"/>
          </w:tcPr>
          <w:p>
            <w:pPr>
              <w:pStyle w:val="233"/>
              <w:ind w:firstLine="0" w:firstLineChars="0"/>
              <w:jc w:val="both"/>
              <w:rPr>
                <w:rFonts w:hint="eastAsia" w:ascii="宋体" w:hAnsi="宋体" w:eastAsia="宋体" w:cs="Times New Roman"/>
                <w:sz w:val="18"/>
                <w:szCs w:val="18"/>
                <w:lang w:val="en-US" w:eastAsia="zh-CN" w:bidi="ar-SA"/>
              </w:rPr>
            </w:pPr>
            <w:r>
              <w:rPr>
                <w:rFonts w:hint="eastAsia" w:hAnsi="宋体"/>
                <w:sz w:val="18"/>
                <w:szCs w:val="18"/>
              </w:rPr>
              <w:t>最高运行速度</w:t>
            </w:r>
          </w:p>
        </w:tc>
        <w:tc>
          <w:tcPr>
            <w:tcW w:w="1255" w:type="pct"/>
            <w:vAlign w:val="center"/>
          </w:tcPr>
          <w:p>
            <w:pPr>
              <w:pStyle w:val="233"/>
              <w:ind w:firstLine="0" w:firstLineChars="0"/>
              <w:jc w:val="center"/>
              <w:rPr>
                <w:rFonts w:hint="eastAsia" w:ascii="宋体" w:hAnsi="宋体" w:eastAsia="宋体" w:cs="Times New Roman"/>
                <w:sz w:val="18"/>
                <w:szCs w:val="18"/>
                <w:lang w:val="en-US" w:eastAsia="zh-CN" w:bidi="ar-SA"/>
              </w:rPr>
            </w:pPr>
            <w:r>
              <w:rPr>
                <w:rFonts w:hint="eastAsia" w:hAnsi="宋体"/>
                <w:sz w:val="18"/>
                <w:szCs w:val="18"/>
              </w:rPr>
              <w:t>A.14.2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continue"/>
            <w:vAlign w:val="center"/>
          </w:tcPr>
          <w:p>
            <w:pPr>
              <w:pStyle w:val="233"/>
              <w:ind w:firstLine="0" w:firstLineChars="0"/>
              <w:jc w:val="center"/>
              <w:rPr>
                <w:rFonts w:hAnsi="宋体"/>
                <w:sz w:val="18"/>
                <w:szCs w:val="18"/>
              </w:rPr>
            </w:pPr>
          </w:p>
        </w:tc>
        <w:tc>
          <w:tcPr>
            <w:tcW w:w="2576" w:type="pct"/>
            <w:vAlign w:val="center"/>
          </w:tcPr>
          <w:p>
            <w:pPr>
              <w:pStyle w:val="233"/>
              <w:ind w:firstLine="0" w:firstLineChars="0"/>
              <w:jc w:val="both"/>
              <w:rPr>
                <w:rFonts w:hint="eastAsia" w:ascii="宋体" w:hAnsi="宋体" w:eastAsia="宋体" w:cs="Times New Roman"/>
                <w:sz w:val="18"/>
                <w:szCs w:val="18"/>
                <w:lang w:val="en-US" w:eastAsia="zh-CN" w:bidi="ar-SA"/>
              </w:rPr>
            </w:pPr>
            <w:r>
              <w:rPr>
                <w:rFonts w:hint="eastAsia" w:hAnsi="宋体"/>
                <w:sz w:val="18"/>
                <w:szCs w:val="18"/>
              </w:rPr>
              <w:t>旅行速度</w:t>
            </w:r>
          </w:p>
        </w:tc>
        <w:tc>
          <w:tcPr>
            <w:tcW w:w="1255" w:type="pct"/>
            <w:vAlign w:val="center"/>
          </w:tcPr>
          <w:p>
            <w:pPr>
              <w:pStyle w:val="233"/>
              <w:ind w:firstLine="0" w:firstLineChars="0"/>
              <w:jc w:val="center"/>
              <w:rPr>
                <w:rFonts w:hint="eastAsia" w:ascii="宋体" w:hAnsi="宋体" w:eastAsia="宋体" w:cs="Times New Roman"/>
                <w:sz w:val="18"/>
                <w:szCs w:val="18"/>
                <w:lang w:val="en-US" w:eastAsia="zh-CN" w:bidi="ar-SA"/>
              </w:rPr>
            </w:pPr>
            <w:r>
              <w:rPr>
                <w:rFonts w:hint="eastAsia" w:hAnsi="宋体"/>
                <w:sz w:val="18"/>
                <w:szCs w:val="18"/>
              </w:rPr>
              <w:t>A.14.3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restart"/>
            <w:vAlign w:val="center"/>
          </w:tcPr>
          <w:p>
            <w:pPr>
              <w:pStyle w:val="233"/>
              <w:ind w:firstLine="0" w:firstLineChars="0"/>
              <w:jc w:val="center"/>
              <w:rPr>
                <w:rFonts w:hAnsi="宋体"/>
                <w:sz w:val="18"/>
                <w:szCs w:val="18"/>
              </w:rPr>
            </w:pPr>
            <w:r>
              <w:rPr>
                <w:rFonts w:hint="eastAsia" w:hAnsi="宋体"/>
                <w:sz w:val="18"/>
                <w:szCs w:val="18"/>
              </w:rPr>
              <w:t>乘客服务</w:t>
            </w:r>
          </w:p>
        </w:tc>
        <w:tc>
          <w:tcPr>
            <w:tcW w:w="2576" w:type="pct"/>
            <w:vAlign w:val="center"/>
          </w:tcPr>
          <w:p>
            <w:pPr>
              <w:pStyle w:val="233"/>
              <w:ind w:firstLine="0" w:firstLineChars="0"/>
              <w:jc w:val="both"/>
              <w:rPr>
                <w:rFonts w:hint="eastAsia" w:hAnsi="宋体"/>
                <w:sz w:val="18"/>
                <w:szCs w:val="18"/>
              </w:rPr>
            </w:pPr>
            <w:r>
              <w:rPr>
                <w:rFonts w:hint="eastAsia" w:hAnsi="宋体"/>
                <w:sz w:val="18"/>
                <w:szCs w:val="18"/>
              </w:rPr>
              <w:t>最大/最小</w:t>
            </w:r>
            <w:r>
              <w:rPr>
                <w:rFonts w:hAnsi="宋体"/>
                <w:sz w:val="18"/>
                <w:szCs w:val="18"/>
              </w:rPr>
              <w:t>发车间隔</w:t>
            </w:r>
          </w:p>
        </w:tc>
        <w:tc>
          <w:tcPr>
            <w:tcW w:w="1255" w:type="pct"/>
            <w:vAlign w:val="center"/>
          </w:tcPr>
          <w:p>
            <w:pPr>
              <w:pStyle w:val="233"/>
              <w:ind w:firstLine="0" w:firstLineChars="0"/>
              <w:jc w:val="center"/>
              <w:rPr>
                <w:rFonts w:hint="eastAsia" w:hAnsi="宋体"/>
                <w:sz w:val="18"/>
                <w:szCs w:val="18"/>
              </w:rPr>
            </w:pPr>
            <w:r>
              <w:rPr>
                <w:rFonts w:hint="eastAsia" w:hAnsi="宋体"/>
                <w:sz w:val="18"/>
                <w:szCs w:val="18"/>
              </w:rPr>
              <w:t>A.15.1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continue"/>
            <w:vAlign w:val="center"/>
          </w:tcPr>
          <w:p>
            <w:pPr>
              <w:pStyle w:val="233"/>
              <w:ind w:firstLine="0" w:firstLineChars="0"/>
              <w:jc w:val="center"/>
              <w:rPr>
                <w:rFonts w:hAnsi="宋体"/>
                <w:sz w:val="18"/>
                <w:szCs w:val="18"/>
              </w:rPr>
            </w:pPr>
          </w:p>
        </w:tc>
        <w:tc>
          <w:tcPr>
            <w:tcW w:w="2576" w:type="pct"/>
            <w:vAlign w:val="center"/>
          </w:tcPr>
          <w:p>
            <w:pPr>
              <w:pStyle w:val="233"/>
              <w:ind w:firstLine="0" w:firstLineChars="0"/>
              <w:jc w:val="both"/>
              <w:rPr>
                <w:rFonts w:hint="eastAsia" w:hAnsi="宋体"/>
                <w:sz w:val="18"/>
                <w:szCs w:val="18"/>
              </w:rPr>
            </w:pPr>
            <w:r>
              <w:rPr>
                <w:rFonts w:hint="eastAsia" w:hAnsi="宋体"/>
                <w:sz w:val="18"/>
                <w:szCs w:val="18"/>
              </w:rPr>
              <w:t>线路</w:t>
            </w:r>
            <w:r>
              <w:rPr>
                <w:rFonts w:hAnsi="宋体"/>
                <w:sz w:val="18"/>
                <w:szCs w:val="18"/>
              </w:rPr>
              <w:t>运营时间</w:t>
            </w:r>
          </w:p>
        </w:tc>
        <w:tc>
          <w:tcPr>
            <w:tcW w:w="1255" w:type="pct"/>
            <w:vAlign w:val="center"/>
          </w:tcPr>
          <w:p>
            <w:pPr>
              <w:pStyle w:val="233"/>
              <w:ind w:firstLine="0" w:firstLineChars="0"/>
              <w:jc w:val="center"/>
              <w:rPr>
                <w:rFonts w:hint="eastAsia" w:hAnsi="宋体"/>
                <w:sz w:val="18"/>
                <w:szCs w:val="18"/>
              </w:rPr>
            </w:pPr>
            <w:r>
              <w:rPr>
                <w:rFonts w:hint="eastAsia" w:hAnsi="宋体"/>
                <w:sz w:val="18"/>
                <w:szCs w:val="18"/>
              </w:rPr>
              <w:t>A.15.2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continue"/>
            <w:vAlign w:val="center"/>
          </w:tcPr>
          <w:p>
            <w:pPr>
              <w:pStyle w:val="233"/>
              <w:ind w:firstLine="0" w:firstLineChars="0"/>
              <w:jc w:val="center"/>
              <w:rPr>
                <w:rFonts w:hAnsi="宋体"/>
                <w:sz w:val="18"/>
                <w:szCs w:val="18"/>
              </w:rPr>
            </w:pPr>
          </w:p>
        </w:tc>
        <w:tc>
          <w:tcPr>
            <w:tcW w:w="2576" w:type="pct"/>
            <w:vAlign w:val="center"/>
          </w:tcPr>
          <w:p>
            <w:pPr>
              <w:pStyle w:val="233"/>
              <w:ind w:firstLine="0" w:firstLineChars="0"/>
              <w:jc w:val="both"/>
              <w:rPr>
                <w:rFonts w:hint="eastAsia" w:hAnsi="宋体"/>
                <w:sz w:val="18"/>
                <w:szCs w:val="18"/>
              </w:rPr>
            </w:pPr>
            <w:r>
              <w:rPr>
                <w:rFonts w:hint="eastAsia" w:hAnsi="宋体"/>
                <w:sz w:val="18"/>
                <w:szCs w:val="18"/>
              </w:rPr>
              <w:t>列车</w:t>
            </w:r>
            <w:r>
              <w:rPr>
                <w:rFonts w:hAnsi="宋体"/>
                <w:sz w:val="18"/>
                <w:szCs w:val="18"/>
              </w:rPr>
              <w:t>服务可靠度</w:t>
            </w:r>
          </w:p>
        </w:tc>
        <w:tc>
          <w:tcPr>
            <w:tcW w:w="1255" w:type="pct"/>
            <w:vAlign w:val="center"/>
          </w:tcPr>
          <w:p>
            <w:pPr>
              <w:pStyle w:val="233"/>
              <w:ind w:firstLine="0" w:firstLineChars="0"/>
              <w:jc w:val="center"/>
              <w:rPr>
                <w:rFonts w:hint="eastAsia" w:hAnsi="宋体"/>
                <w:sz w:val="18"/>
                <w:szCs w:val="18"/>
              </w:rPr>
            </w:pPr>
            <w:r>
              <w:rPr>
                <w:rFonts w:hint="eastAsia" w:hAnsi="宋体"/>
                <w:sz w:val="18"/>
                <w:szCs w:val="18"/>
              </w:rPr>
              <w:t>A.15.3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restart"/>
            <w:vAlign w:val="center"/>
          </w:tcPr>
          <w:p>
            <w:pPr>
              <w:pStyle w:val="233"/>
              <w:ind w:firstLine="0" w:firstLineChars="0"/>
              <w:jc w:val="center"/>
              <w:rPr>
                <w:rFonts w:hAnsi="宋体"/>
                <w:sz w:val="18"/>
                <w:szCs w:val="18"/>
              </w:rPr>
            </w:pPr>
            <w:r>
              <w:rPr>
                <w:rFonts w:hint="eastAsia" w:hAnsi="宋体"/>
                <w:sz w:val="18"/>
                <w:szCs w:val="18"/>
              </w:rPr>
              <w:t>计划兑现</w:t>
            </w:r>
          </w:p>
        </w:tc>
        <w:tc>
          <w:tcPr>
            <w:tcW w:w="2576" w:type="pct"/>
            <w:vAlign w:val="center"/>
          </w:tcPr>
          <w:p>
            <w:pPr>
              <w:pStyle w:val="233"/>
              <w:ind w:firstLine="0" w:firstLineChars="0"/>
              <w:jc w:val="both"/>
              <w:rPr>
                <w:rFonts w:hint="eastAsia" w:hAnsi="宋体"/>
                <w:sz w:val="18"/>
                <w:szCs w:val="18"/>
              </w:rPr>
            </w:pPr>
            <w:r>
              <w:rPr>
                <w:rFonts w:hint="eastAsia" w:hAnsi="宋体"/>
                <w:sz w:val="18"/>
                <w:szCs w:val="18"/>
              </w:rPr>
              <w:t>计划开行列次</w:t>
            </w:r>
          </w:p>
        </w:tc>
        <w:tc>
          <w:tcPr>
            <w:tcW w:w="1255" w:type="pct"/>
            <w:vAlign w:val="center"/>
          </w:tcPr>
          <w:p>
            <w:pPr>
              <w:pStyle w:val="233"/>
              <w:ind w:firstLine="0" w:firstLineChars="0"/>
              <w:jc w:val="center"/>
              <w:rPr>
                <w:rFonts w:hint="eastAsia" w:hAnsi="宋体"/>
                <w:sz w:val="18"/>
                <w:szCs w:val="18"/>
              </w:rPr>
            </w:pPr>
            <w:r>
              <w:rPr>
                <w:rFonts w:hint="eastAsia" w:hAnsi="宋体"/>
                <w:sz w:val="18"/>
                <w:szCs w:val="18"/>
              </w:rPr>
              <w:t>A.16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continue"/>
            <w:vAlign w:val="center"/>
          </w:tcPr>
          <w:p>
            <w:pPr>
              <w:pStyle w:val="233"/>
              <w:ind w:firstLine="0" w:firstLineChars="0"/>
              <w:jc w:val="center"/>
              <w:rPr>
                <w:rFonts w:hAnsi="宋体"/>
                <w:sz w:val="18"/>
                <w:szCs w:val="18"/>
              </w:rPr>
            </w:pPr>
          </w:p>
        </w:tc>
        <w:tc>
          <w:tcPr>
            <w:tcW w:w="2576" w:type="pct"/>
            <w:vAlign w:val="center"/>
          </w:tcPr>
          <w:p>
            <w:pPr>
              <w:pStyle w:val="233"/>
              <w:ind w:firstLine="0" w:firstLineChars="0"/>
              <w:jc w:val="both"/>
              <w:rPr>
                <w:rFonts w:hint="eastAsia" w:hAnsi="宋体"/>
                <w:sz w:val="18"/>
                <w:szCs w:val="18"/>
              </w:rPr>
            </w:pPr>
            <w:r>
              <w:rPr>
                <w:rFonts w:hint="eastAsia" w:hAnsi="宋体"/>
                <w:sz w:val="18"/>
                <w:szCs w:val="18"/>
              </w:rPr>
              <w:t>计划兑现列次</w:t>
            </w:r>
          </w:p>
        </w:tc>
        <w:tc>
          <w:tcPr>
            <w:tcW w:w="1255" w:type="pct"/>
            <w:vAlign w:val="center"/>
          </w:tcPr>
          <w:p>
            <w:pPr>
              <w:pStyle w:val="233"/>
              <w:ind w:firstLine="0" w:firstLineChars="0"/>
              <w:jc w:val="center"/>
              <w:rPr>
                <w:rFonts w:hint="eastAsia" w:hAnsi="宋体"/>
                <w:sz w:val="18"/>
                <w:szCs w:val="18"/>
              </w:rPr>
            </w:pPr>
            <w:r>
              <w:rPr>
                <w:rFonts w:hint="eastAsia" w:hAnsi="宋体"/>
                <w:sz w:val="18"/>
                <w:szCs w:val="18"/>
              </w:rPr>
              <w:t>A.17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continue"/>
            <w:vAlign w:val="center"/>
          </w:tcPr>
          <w:p>
            <w:pPr>
              <w:pStyle w:val="233"/>
              <w:ind w:firstLine="0" w:firstLineChars="0"/>
              <w:jc w:val="center"/>
              <w:rPr>
                <w:rFonts w:hAnsi="宋体"/>
                <w:sz w:val="18"/>
                <w:szCs w:val="18"/>
              </w:rPr>
            </w:pPr>
          </w:p>
        </w:tc>
        <w:tc>
          <w:tcPr>
            <w:tcW w:w="2576" w:type="pct"/>
            <w:vAlign w:val="center"/>
          </w:tcPr>
          <w:p>
            <w:pPr>
              <w:pStyle w:val="233"/>
              <w:ind w:firstLine="0" w:firstLineChars="0"/>
              <w:jc w:val="both"/>
              <w:rPr>
                <w:rFonts w:hint="eastAsia" w:hAnsi="宋体"/>
                <w:sz w:val="18"/>
                <w:szCs w:val="18"/>
              </w:rPr>
            </w:pPr>
            <w:r>
              <w:rPr>
                <w:rFonts w:hint="eastAsia" w:hAnsi="宋体"/>
                <w:sz w:val="18"/>
                <w:szCs w:val="18"/>
              </w:rPr>
              <w:t>加开列次</w:t>
            </w:r>
          </w:p>
        </w:tc>
        <w:tc>
          <w:tcPr>
            <w:tcW w:w="1255" w:type="pct"/>
            <w:vAlign w:val="center"/>
          </w:tcPr>
          <w:p>
            <w:pPr>
              <w:pStyle w:val="233"/>
              <w:ind w:firstLine="0" w:firstLineChars="0"/>
              <w:jc w:val="center"/>
              <w:rPr>
                <w:rFonts w:hint="eastAsia" w:hAnsi="宋体"/>
                <w:sz w:val="18"/>
                <w:szCs w:val="18"/>
              </w:rPr>
            </w:pPr>
            <w:r>
              <w:rPr>
                <w:rFonts w:hint="eastAsia" w:hAnsi="宋体"/>
                <w:sz w:val="18"/>
                <w:szCs w:val="18"/>
              </w:rPr>
              <w:t>A.18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continue"/>
            <w:vAlign w:val="center"/>
          </w:tcPr>
          <w:p>
            <w:pPr>
              <w:pStyle w:val="233"/>
              <w:ind w:firstLine="0" w:firstLineChars="0"/>
              <w:jc w:val="center"/>
              <w:rPr>
                <w:rFonts w:hAnsi="宋体"/>
                <w:sz w:val="18"/>
                <w:szCs w:val="18"/>
              </w:rPr>
            </w:pPr>
          </w:p>
        </w:tc>
        <w:tc>
          <w:tcPr>
            <w:tcW w:w="2576" w:type="pct"/>
            <w:vAlign w:val="center"/>
          </w:tcPr>
          <w:p>
            <w:pPr>
              <w:pStyle w:val="233"/>
              <w:ind w:firstLine="0" w:firstLineChars="0"/>
              <w:jc w:val="both"/>
              <w:rPr>
                <w:rFonts w:hint="eastAsia" w:hAnsi="宋体"/>
                <w:sz w:val="18"/>
                <w:szCs w:val="18"/>
              </w:rPr>
            </w:pPr>
            <w:r>
              <w:rPr>
                <w:rFonts w:hint="eastAsia" w:hAnsi="宋体"/>
                <w:sz w:val="18"/>
                <w:szCs w:val="18"/>
              </w:rPr>
              <w:t>停运列次</w:t>
            </w:r>
          </w:p>
        </w:tc>
        <w:tc>
          <w:tcPr>
            <w:tcW w:w="1255" w:type="pct"/>
            <w:vAlign w:val="center"/>
          </w:tcPr>
          <w:p>
            <w:pPr>
              <w:pStyle w:val="233"/>
              <w:ind w:firstLine="0" w:firstLineChars="0"/>
              <w:jc w:val="center"/>
              <w:rPr>
                <w:rFonts w:hint="eastAsia" w:hAnsi="宋体"/>
                <w:sz w:val="18"/>
                <w:szCs w:val="18"/>
              </w:rPr>
            </w:pPr>
            <w:r>
              <w:rPr>
                <w:rFonts w:hint="eastAsia" w:hAnsi="宋体"/>
                <w:sz w:val="18"/>
                <w:szCs w:val="18"/>
              </w:rPr>
              <w:t>A.19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continue"/>
            <w:vAlign w:val="center"/>
          </w:tcPr>
          <w:p>
            <w:pPr>
              <w:pStyle w:val="233"/>
              <w:ind w:firstLine="0" w:firstLineChars="0"/>
              <w:jc w:val="center"/>
              <w:rPr>
                <w:rFonts w:hAnsi="宋体"/>
                <w:sz w:val="18"/>
                <w:szCs w:val="18"/>
              </w:rPr>
            </w:pPr>
          </w:p>
        </w:tc>
        <w:tc>
          <w:tcPr>
            <w:tcW w:w="2576" w:type="pct"/>
            <w:vAlign w:val="center"/>
          </w:tcPr>
          <w:p>
            <w:pPr>
              <w:pStyle w:val="233"/>
              <w:ind w:firstLine="0" w:firstLineChars="0"/>
              <w:jc w:val="both"/>
              <w:rPr>
                <w:rFonts w:hint="eastAsia" w:hAnsi="宋体"/>
                <w:sz w:val="18"/>
                <w:szCs w:val="18"/>
              </w:rPr>
            </w:pPr>
            <w:r>
              <w:rPr>
                <w:rFonts w:hint="eastAsia" w:hAnsi="宋体"/>
                <w:sz w:val="18"/>
                <w:szCs w:val="18"/>
              </w:rPr>
              <w:t>晚点列次</w:t>
            </w:r>
          </w:p>
        </w:tc>
        <w:tc>
          <w:tcPr>
            <w:tcW w:w="1255" w:type="pct"/>
            <w:vAlign w:val="center"/>
          </w:tcPr>
          <w:p>
            <w:pPr>
              <w:pStyle w:val="233"/>
              <w:ind w:firstLine="0" w:firstLineChars="0"/>
              <w:jc w:val="center"/>
              <w:rPr>
                <w:rFonts w:hint="eastAsia" w:hAnsi="宋体"/>
                <w:sz w:val="18"/>
                <w:szCs w:val="18"/>
              </w:rPr>
            </w:pPr>
            <w:r>
              <w:rPr>
                <w:rFonts w:hint="eastAsia" w:hAnsi="宋体"/>
                <w:sz w:val="18"/>
                <w:szCs w:val="18"/>
              </w:rPr>
              <w:t>A.20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continue"/>
            <w:vAlign w:val="center"/>
          </w:tcPr>
          <w:p>
            <w:pPr>
              <w:pStyle w:val="233"/>
              <w:ind w:firstLine="0" w:firstLineChars="0"/>
              <w:jc w:val="center"/>
              <w:rPr>
                <w:rFonts w:hAnsi="宋体"/>
                <w:sz w:val="18"/>
                <w:szCs w:val="18"/>
              </w:rPr>
            </w:pPr>
          </w:p>
        </w:tc>
        <w:tc>
          <w:tcPr>
            <w:tcW w:w="2576" w:type="pct"/>
            <w:vAlign w:val="center"/>
          </w:tcPr>
          <w:p>
            <w:pPr>
              <w:pStyle w:val="233"/>
              <w:ind w:firstLine="0" w:firstLineChars="0"/>
              <w:jc w:val="both"/>
              <w:rPr>
                <w:rFonts w:hint="eastAsia" w:hAnsi="宋体"/>
                <w:sz w:val="18"/>
                <w:szCs w:val="18"/>
              </w:rPr>
            </w:pPr>
            <w:r>
              <w:rPr>
                <w:rFonts w:hint="eastAsia" w:hAnsi="宋体"/>
                <w:sz w:val="18"/>
                <w:szCs w:val="18"/>
              </w:rPr>
              <w:t>实际开行列次</w:t>
            </w:r>
          </w:p>
        </w:tc>
        <w:tc>
          <w:tcPr>
            <w:tcW w:w="1255" w:type="pct"/>
            <w:vAlign w:val="center"/>
          </w:tcPr>
          <w:p>
            <w:pPr>
              <w:pStyle w:val="233"/>
              <w:ind w:firstLine="0" w:firstLineChars="0"/>
              <w:jc w:val="center"/>
              <w:rPr>
                <w:rFonts w:hint="eastAsia" w:hAnsi="宋体"/>
                <w:sz w:val="18"/>
                <w:szCs w:val="18"/>
              </w:rPr>
            </w:pPr>
            <w:r>
              <w:rPr>
                <w:rFonts w:hint="eastAsia" w:hAnsi="宋体"/>
                <w:sz w:val="18"/>
                <w:szCs w:val="18"/>
              </w:rPr>
              <w:t>A.21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continue"/>
            <w:vAlign w:val="center"/>
          </w:tcPr>
          <w:p>
            <w:pPr>
              <w:pStyle w:val="233"/>
              <w:ind w:firstLine="0" w:firstLineChars="0"/>
              <w:jc w:val="center"/>
              <w:rPr>
                <w:rFonts w:hAnsi="宋体"/>
                <w:sz w:val="18"/>
                <w:szCs w:val="18"/>
              </w:rPr>
            </w:pPr>
          </w:p>
        </w:tc>
        <w:tc>
          <w:tcPr>
            <w:tcW w:w="2576" w:type="pct"/>
            <w:vAlign w:val="center"/>
          </w:tcPr>
          <w:p>
            <w:pPr>
              <w:pStyle w:val="233"/>
              <w:ind w:firstLine="0" w:firstLineChars="0"/>
              <w:jc w:val="both"/>
              <w:rPr>
                <w:rFonts w:hint="eastAsia" w:hAnsi="宋体"/>
                <w:sz w:val="18"/>
                <w:szCs w:val="18"/>
              </w:rPr>
            </w:pPr>
            <w:r>
              <w:rPr>
                <w:rFonts w:hint="eastAsia" w:hAnsi="宋体"/>
                <w:sz w:val="18"/>
                <w:szCs w:val="18"/>
              </w:rPr>
              <w:t>列车正点率</w:t>
            </w:r>
          </w:p>
        </w:tc>
        <w:tc>
          <w:tcPr>
            <w:tcW w:w="1255" w:type="pct"/>
            <w:vAlign w:val="center"/>
          </w:tcPr>
          <w:p>
            <w:pPr>
              <w:pStyle w:val="233"/>
              <w:ind w:firstLine="0" w:firstLineChars="0"/>
              <w:jc w:val="center"/>
              <w:rPr>
                <w:rFonts w:hint="eastAsia" w:hAnsi="宋体"/>
                <w:sz w:val="18"/>
                <w:szCs w:val="18"/>
              </w:rPr>
            </w:pPr>
            <w:r>
              <w:rPr>
                <w:rFonts w:hint="eastAsia" w:hAnsi="宋体"/>
                <w:sz w:val="18"/>
                <w:szCs w:val="18"/>
              </w:rPr>
              <w:t>A.22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continue"/>
            <w:vAlign w:val="center"/>
          </w:tcPr>
          <w:p>
            <w:pPr>
              <w:pStyle w:val="233"/>
              <w:ind w:firstLine="0" w:firstLineChars="0"/>
              <w:jc w:val="center"/>
              <w:rPr>
                <w:rFonts w:hAnsi="宋体"/>
                <w:sz w:val="18"/>
                <w:szCs w:val="18"/>
              </w:rPr>
            </w:pPr>
          </w:p>
        </w:tc>
        <w:tc>
          <w:tcPr>
            <w:tcW w:w="2576" w:type="pct"/>
            <w:vAlign w:val="center"/>
          </w:tcPr>
          <w:p>
            <w:pPr>
              <w:pStyle w:val="233"/>
              <w:ind w:firstLine="0" w:firstLineChars="0"/>
              <w:jc w:val="both"/>
              <w:rPr>
                <w:rFonts w:hint="eastAsia" w:hAnsi="宋体"/>
                <w:sz w:val="18"/>
                <w:szCs w:val="18"/>
              </w:rPr>
            </w:pPr>
            <w:r>
              <w:rPr>
                <w:rFonts w:hint="eastAsia" w:hAnsi="宋体"/>
                <w:sz w:val="18"/>
                <w:szCs w:val="18"/>
              </w:rPr>
              <w:t>列车运行图</w:t>
            </w:r>
            <w:r>
              <w:rPr>
                <w:rFonts w:hint="default" w:hAnsi="宋体"/>
                <w:sz w:val="18"/>
                <w:szCs w:val="18"/>
                <w:lang w:val="en-US"/>
              </w:rPr>
              <w:t>/</w:t>
            </w:r>
            <w:r>
              <w:rPr>
                <w:rFonts w:hint="eastAsia" w:hAnsi="宋体"/>
                <w:sz w:val="18"/>
                <w:szCs w:val="18"/>
                <w:lang w:val="en-US" w:eastAsia="zh-CN"/>
              </w:rPr>
              <w:t>时刻表</w:t>
            </w:r>
            <w:r>
              <w:rPr>
                <w:rFonts w:hint="eastAsia" w:hAnsi="宋体"/>
                <w:sz w:val="18"/>
                <w:szCs w:val="18"/>
              </w:rPr>
              <w:t>兑现率</w:t>
            </w:r>
          </w:p>
        </w:tc>
        <w:tc>
          <w:tcPr>
            <w:tcW w:w="1255" w:type="pct"/>
            <w:vAlign w:val="center"/>
          </w:tcPr>
          <w:p>
            <w:pPr>
              <w:pStyle w:val="233"/>
              <w:ind w:firstLine="0" w:firstLineChars="0"/>
              <w:jc w:val="center"/>
              <w:rPr>
                <w:rFonts w:hint="eastAsia" w:hAnsi="宋体"/>
                <w:sz w:val="18"/>
                <w:szCs w:val="18"/>
              </w:rPr>
            </w:pPr>
            <w:r>
              <w:rPr>
                <w:rFonts w:hint="eastAsia" w:hAnsi="宋体"/>
                <w:sz w:val="18"/>
                <w:szCs w:val="18"/>
              </w:rPr>
              <w:t>A.23</w:t>
            </w:r>
          </w:p>
        </w:tc>
      </w:tr>
    </w:tbl>
    <w:p>
      <w:pPr>
        <w:pStyle w:val="243"/>
        <w:numPr>
          <w:ilvl w:val="0"/>
          <w:numId w:val="0"/>
        </w:numPr>
        <w:spacing w:before="156" w:after="156"/>
      </w:pPr>
      <w:r>
        <w:rPr>
          <w:rFonts w:hint="eastAsia"/>
        </w:rPr>
        <w:t>表2（续）</w:t>
      </w:r>
    </w:p>
    <w:tbl>
      <w:tblPr>
        <w:tblStyle w:val="29"/>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3"/>
        <w:gridCol w:w="4926"/>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Align w:val="center"/>
          </w:tcPr>
          <w:p>
            <w:pPr>
              <w:pStyle w:val="233"/>
              <w:ind w:firstLine="0" w:firstLineChars="0"/>
              <w:jc w:val="center"/>
              <w:rPr>
                <w:rFonts w:hAnsi="宋体"/>
                <w:sz w:val="18"/>
                <w:szCs w:val="18"/>
              </w:rPr>
            </w:pPr>
            <w:r>
              <w:rPr>
                <w:rFonts w:hint="eastAsia" w:hAnsi="宋体"/>
                <w:sz w:val="18"/>
                <w:szCs w:val="18"/>
              </w:rPr>
              <w:t>分类</w:t>
            </w:r>
          </w:p>
        </w:tc>
        <w:tc>
          <w:tcPr>
            <w:tcW w:w="2576" w:type="pct"/>
            <w:vAlign w:val="center"/>
          </w:tcPr>
          <w:p>
            <w:pPr>
              <w:pStyle w:val="233"/>
              <w:ind w:firstLine="0" w:firstLineChars="0"/>
              <w:jc w:val="center"/>
              <w:rPr>
                <w:rFonts w:hAnsi="宋体"/>
                <w:sz w:val="18"/>
                <w:szCs w:val="18"/>
              </w:rPr>
            </w:pPr>
            <w:r>
              <w:rPr>
                <w:rFonts w:hint="eastAsia" w:hAnsi="宋体"/>
                <w:sz w:val="18"/>
                <w:szCs w:val="18"/>
              </w:rPr>
              <w:t>指标</w:t>
            </w:r>
          </w:p>
        </w:tc>
        <w:tc>
          <w:tcPr>
            <w:tcW w:w="1255" w:type="pct"/>
            <w:vAlign w:val="center"/>
          </w:tcPr>
          <w:p>
            <w:pPr>
              <w:pStyle w:val="233"/>
              <w:ind w:firstLine="0" w:firstLineChars="0"/>
              <w:jc w:val="center"/>
              <w:rPr>
                <w:rFonts w:hAnsi="宋体"/>
                <w:sz w:val="18"/>
                <w:szCs w:val="18"/>
              </w:rPr>
            </w:pPr>
            <w:r>
              <w:rPr>
                <w:rFonts w:hint="eastAsia" w:hAnsi="宋体"/>
                <w:sz w:val="18"/>
                <w:szCs w:val="18"/>
              </w:rPr>
              <w:t>定义及计算方法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restart"/>
            <w:vAlign w:val="center"/>
          </w:tcPr>
          <w:p>
            <w:pPr>
              <w:pStyle w:val="233"/>
              <w:ind w:firstLine="0" w:firstLineChars="0"/>
              <w:jc w:val="center"/>
              <w:rPr>
                <w:rFonts w:hAnsi="宋体"/>
                <w:sz w:val="18"/>
                <w:szCs w:val="18"/>
              </w:rPr>
            </w:pPr>
            <w:r>
              <w:rPr>
                <w:rFonts w:hint="eastAsia" w:hAnsi="宋体"/>
                <w:sz w:val="18"/>
                <w:szCs w:val="18"/>
              </w:rPr>
              <w:t>延误事件</w:t>
            </w:r>
          </w:p>
        </w:tc>
        <w:tc>
          <w:tcPr>
            <w:tcW w:w="2576" w:type="pct"/>
            <w:vAlign w:val="center"/>
          </w:tcPr>
          <w:p>
            <w:pPr>
              <w:pStyle w:val="233"/>
              <w:ind w:firstLine="0" w:firstLineChars="0"/>
              <w:jc w:val="both"/>
              <w:rPr>
                <w:rFonts w:hint="eastAsia" w:hAnsi="宋体"/>
                <w:sz w:val="18"/>
                <w:szCs w:val="18"/>
              </w:rPr>
            </w:pPr>
            <w:r>
              <w:rPr>
                <w:rFonts w:hint="eastAsia" w:hAnsi="宋体"/>
                <w:sz w:val="18"/>
                <w:szCs w:val="18"/>
              </w:rPr>
              <w:t>5</w:t>
            </w:r>
            <w:r>
              <w:rPr>
                <w:rFonts w:hint="default" w:hAnsi="宋体"/>
                <w:sz w:val="18"/>
                <w:szCs w:val="18"/>
                <w:lang w:val="en-US"/>
              </w:rPr>
              <w:t xml:space="preserve"> min</w:t>
            </w:r>
            <w:r>
              <w:rPr>
                <w:rFonts w:hint="eastAsia" w:hAnsi="宋体"/>
                <w:sz w:val="18"/>
                <w:szCs w:val="18"/>
              </w:rPr>
              <w:t>及以上延误事件</w:t>
            </w:r>
            <w:r>
              <w:rPr>
                <w:rFonts w:hint="eastAsia" w:hAnsi="宋体"/>
                <w:sz w:val="18"/>
                <w:szCs w:val="18"/>
                <w:lang w:eastAsia="zh-CN"/>
              </w:rPr>
              <w:t>数</w:t>
            </w:r>
          </w:p>
        </w:tc>
        <w:tc>
          <w:tcPr>
            <w:tcW w:w="1255" w:type="pct"/>
            <w:vAlign w:val="center"/>
          </w:tcPr>
          <w:p>
            <w:pPr>
              <w:pStyle w:val="233"/>
              <w:ind w:firstLine="0" w:firstLineChars="0"/>
              <w:jc w:val="center"/>
              <w:rPr>
                <w:rFonts w:hint="eastAsia" w:hAnsi="宋体"/>
                <w:sz w:val="18"/>
                <w:szCs w:val="18"/>
              </w:rPr>
            </w:pPr>
            <w:r>
              <w:rPr>
                <w:rFonts w:hint="eastAsia" w:hAnsi="宋体"/>
                <w:sz w:val="18"/>
                <w:szCs w:val="18"/>
              </w:rPr>
              <w:t>A.24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continue"/>
            <w:vAlign w:val="center"/>
          </w:tcPr>
          <w:p>
            <w:pPr>
              <w:pStyle w:val="233"/>
              <w:ind w:firstLine="0" w:firstLineChars="0"/>
              <w:jc w:val="center"/>
              <w:rPr>
                <w:rFonts w:hAnsi="宋体"/>
                <w:sz w:val="18"/>
                <w:szCs w:val="18"/>
              </w:rPr>
            </w:pPr>
          </w:p>
        </w:tc>
        <w:tc>
          <w:tcPr>
            <w:tcW w:w="2576" w:type="pct"/>
            <w:vAlign w:val="center"/>
          </w:tcPr>
          <w:p>
            <w:pPr>
              <w:pStyle w:val="233"/>
              <w:ind w:firstLine="0" w:firstLineChars="0"/>
              <w:jc w:val="both"/>
              <w:rPr>
                <w:rFonts w:hint="eastAsia" w:hAnsi="宋体"/>
                <w:sz w:val="18"/>
                <w:szCs w:val="18"/>
              </w:rPr>
            </w:pPr>
            <w:r>
              <w:rPr>
                <w:rFonts w:hint="eastAsia" w:hAnsi="宋体"/>
                <w:sz w:val="18"/>
                <w:szCs w:val="18"/>
              </w:rPr>
              <w:t>5</w:t>
            </w:r>
            <w:r>
              <w:rPr>
                <w:rFonts w:hint="default" w:hAnsi="宋体"/>
                <w:sz w:val="18"/>
                <w:szCs w:val="18"/>
                <w:lang w:val="en-US"/>
              </w:rPr>
              <w:t xml:space="preserve"> min</w:t>
            </w:r>
            <w:r>
              <w:rPr>
                <w:rFonts w:hint="eastAsia" w:hAnsi="宋体"/>
                <w:sz w:val="18"/>
                <w:szCs w:val="18"/>
              </w:rPr>
              <w:t>及以上延误率</w:t>
            </w:r>
          </w:p>
        </w:tc>
        <w:tc>
          <w:tcPr>
            <w:tcW w:w="1255" w:type="pct"/>
            <w:vAlign w:val="center"/>
          </w:tcPr>
          <w:p>
            <w:pPr>
              <w:pStyle w:val="233"/>
              <w:ind w:firstLine="0" w:firstLineChars="0"/>
              <w:jc w:val="center"/>
              <w:rPr>
                <w:rFonts w:hint="eastAsia" w:hAnsi="宋体"/>
                <w:sz w:val="18"/>
                <w:szCs w:val="18"/>
              </w:rPr>
            </w:pPr>
            <w:r>
              <w:rPr>
                <w:rFonts w:hint="eastAsia" w:hAnsi="宋体"/>
                <w:sz w:val="18"/>
                <w:szCs w:val="18"/>
              </w:rPr>
              <w:t>A.25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restart"/>
            <w:vAlign w:val="center"/>
          </w:tcPr>
          <w:p>
            <w:pPr>
              <w:pStyle w:val="233"/>
              <w:ind w:firstLine="0" w:firstLineChars="0"/>
              <w:jc w:val="center"/>
              <w:rPr>
                <w:rFonts w:hAnsi="宋体"/>
                <w:sz w:val="18"/>
                <w:szCs w:val="18"/>
              </w:rPr>
            </w:pPr>
            <w:r>
              <w:rPr>
                <w:rFonts w:hint="eastAsia" w:hAnsi="宋体"/>
                <w:sz w:val="18"/>
                <w:szCs w:val="18"/>
              </w:rPr>
              <w:t>清客</w:t>
            </w:r>
          </w:p>
        </w:tc>
        <w:tc>
          <w:tcPr>
            <w:tcW w:w="2576" w:type="pct"/>
            <w:vAlign w:val="center"/>
          </w:tcPr>
          <w:p>
            <w:pPr>
              <w:pStyle w:val="233"/>
              <w:ind w:firstLine="0" w:firstLineChars="0"/>
              <w:jc w:val="both"/>
              <w:rPr>
                <w:rFonts w:hint="eastAsia" w:hAnsi="宋体"/>
                <w:sz w:val="18"/>
                <w:szCs w:val="18"/>
              </w:rPr>
            </w:pPr>
            <w:r>
              <w:rPr>
                <w:rFonts w:hint="eastAsia" w:hAnsi="宋体"/>
                <w:sz w:val="18"/>
                <w:szCs w:val="18"/>
              </w:rPr>
              <w:t>清客列次</w:t>
            </w:r>
          </w:p>
        </w:tc>
        <w:tc>
          <w:tcPr>
            <w:tcW w:w="1255" w:type="pct"/>
            <w:vAlign w:val="center"/>
          </w:tcPr>
          <w:p>
            <w:pPr>
              <w:pStyle w:val="233"/>
              <w:ind w:firstLine="0" w:firstLineChars="0"/>
              <w:jc w:val="center"/>
              <w:rPr>
                <w:rFonts w:hint="eastAsia" w:hAnsi="宋体"/>
                <w:sz w:val="18"/>
                <w:szCs w:val="18"/>
              </w:rPr>
            </w:pPr>
            <w:r>
              <w:rPr>
                <w:rFonts w:hint="eastAsia" w:hAnsi="宋体"/>
                <w:sz w:val="18"/>
                <w:szCs w:val="18"/>
              </w:rPr>
              <w:t>A.26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continue"/>
            <w:vAlign w:val="center"/>
          </w:tcPr>
          <w:p>
            <w:pPr>
              <w:pStyle w:val="233"/>
              <w:ind w:firstLine="0" w:firstLineChars="0"/>
              <w:jc w:val="center"/>
              <w:rPr>
                <w:rFonts w:hAnsi="宋体"/>
                <w:sz w:val="18"/>
                <w:szCs w:val="18"/>
              </w:rPr>
            </w:pPr>
          </w:p>
        </w:tc>
        <w:tc>
          <w:tcPr>
            <w:tcW w:w="2576" w:type="pct"/>
            <w:vAlign w:val="center"/>
          </w:tcPr>
          <w:p>
            <w:pPr>
              <w:pStyle w:val="233"/>
              <w:ind w:firstLine="0" w:firstLineChars="0"/>
              <w:jc w:val="both"/>
              <w:rPr>
                <w:rFonts w:hint="eastAsia" w:hAnsi="宋体"/>
                <w:sz w:val="18"/>
                <w:szCs w:val="18"/>
              </w:rPr>
            </w:pPr>
            <w:r>
              <w:rPr>
                <w:rFonts w:hint="eastAsia" w:hAnsi="宋体"/>
                <w:sz w:val="18"/>
                <w:szCs w:val="18"/>
              </w:rPr>
              <w:t>清客频次</w:t>
            </w:r>
          </w:p>
        </w:tc>
        <w:tc>
          <w:tcPr>
            <w:tcW w:w="1255" w:type="pct"/>
            <w:vAlign w:val="center"/>
          </w:tcPr>
          <w:p>
            <w:pPr>
              <w:pStyle w:val="233"/>
              <w:ind w:firstLine="0" w:firstLineChars="0"/>
              <w:jc w:val="center"/>
              <w:rPr>
                <w:rFonts w:hint="eastAsia" w:hAnsi="宋体"/>
                <w:sz w:val="18"/>
                <w:szCs w:val="18"/>
              </w:rPr>
            </w:pPr>
            <w:r>
              <w:rPr>
                <w:rFonts w:hint="eastAsia" w:hAnsi="宋体"/>
                <w:sz w:val="18"/>
                <w:szCs w:val="18"/>
              </w:rPr>
              <w:t>A.27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Merge w:val="continue"/>
            <w:vAlign w:val="center"/>
          </w:tcPr>
          <w:p>
            <w:pPr>
              <w:pStyle w:val="233"/>
              <w:ind w:firstLine="0" w:firstLineChars="0"/>
              <w:jc w:val="center"/>
              <w:rPr>
                <w:rFonts w:hAnsi="宋体"/>
                <w:sz w:val="18"/>
                <w:szCs w:val="18"/>
              </w:rPr>
            </w:pPr>
          </w:p>
        </w:tc>
        <w:tc>
          <w:tcPr>
            <w:tcW w:w="2576" w:type="pct"/>
            <w:vAlign w:val="center"/>
          </w:tcPr>
          <w:p>
            <w:pPr>
              <w:pStyle w:val="233"/>
              <w:ind w:firstLine="0" w:firstLineChars="0"/>
              <w:jc w:val="both"/>
              <w:rPr>
                <w:rFonts w:hint="eastAsia" w:hAnsi="宋体"/>
                <w:sz w:val="18"/>
                <w:szCs w:val="18"/>
              </w:rPr>
            </w:pPr>
            <w:r>
              <w:rPr>
                <w:rFonts w:hint="eastAsia" w:hAnsi="宋体"/>
                <w:sz w:val="18"/>
                <w:szCs w:val="18"/>
              </w:rPr>
              <w:t>救援列次</w:t>
            </w:r>
          </w:p>
        </w:tc>
        <w:tc>
          <w:tcPr>
            <w:tcW w:w="1255" w:type="pct"/>
            <w:vAlign w:val="center"/>
          </w:tcPr>
          <w:p>
            <w:pPr>
              <w:pStyle w:val="233"/>
              <w:ind w:firstLine="0" w:firstLineChars="0"/>
              <w:jc w:val="center"/>
              <w:rPr>
                <w:rFonts w:hint="eastAsia" w:hAnsi="宋体"/>
                <w:sz w:val="18"/>
                <w:szCs w:val="18"/>
              </w:rPr>
            </w:pPr>
            <w:r>
              <w:rPr>
                <w:rFonts w:hint="eastAsia" w:hAnsi="宋体"/>
                <w:sz w:val="18"/>
                <w:szCs w:val="18"/>
              </w:rPr>
              <w:t>A.28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68" w:type="pct"/>
            <w:vAlign w:val="center"/>
          </w:tcPr>
          <w:p>
            <w:pPr>
              <w:pStyle w:val="233"/>
              <w:ind w:firstLine="0" w:firstLineChars="0"/>
              <w:jc w:val="center"/>
              <w:rPr>
                <w:rFonts w:hAnsi="宋体"/>
                <w:sz w:val="18"/>
                <w:szCs w:val="18"/>
              </w:rPr>
            </w:pPr>
            <w:r>
              <w:rPr>
                <w:rFonts w:hint="eastAsia" w:hAnsi="宋体"/>
                <w:sz w:val="18"/>
                <w:szCs w:val="18"/>
              </w:rPr>
              <w:t>未完成</w:t>
            </w:r>
            <w:r>
              <w:rPr>
                <w:rFonts w:hAnsi="宋体"/>
                <w:sz w:val="18"/>
                <w:szCs w:val="18"/>
              </w:rPr>
              <w:t>单程</w:t>
            </w:r>
          </w:p>
          <w:p>
            <w:pPr>
              <w:pStyle w:val="233"/>
              <w:ind w:firstLine="0" w:firstLineChars="0"/>
              <w:jc w:val="center"/>
              <w:rPr>
                <w:rFonts w:hAnsi="宋体"/>
                <w:sz w:val="18"/>
                <w:szCs w:val="18"/>
              </w:rPr>
            </w:pPr>
            <w:r>
              <w:rPr>
                <w:rFonts w:hAnsi="宋体"/>
                <w:sz w:val="18"/>
                <w:szCs w:val="18"/>
              </w:rPr>
              <w:t>（</w:t>
            </w:r>
            <w:r>
              <w:rPr>
                <w:rFonts w:hint="eastAsia" w:hAnsi="宋体"/>
                <w:sz w:val="18"/>
                <w:szCs w:val="18"/>
              </w:rPr>
              <w:t>又称下线或掉线</w:t>
            </w:r>
            <w:r>
              <w:rPr>
                <w:rFonts w:hAnsi="宋体"/>
                <w:sz w:val="18"/>
                <w:szCs w:val="18"/>
              </w:rPr>
              <w:t>）</w:t>
            </w:r>
          </w:p>
        </w:tc>
        <w:tc>
          <w:tcPr>
            <w:tcW w:w="2576" w:type="pct"/>
            <w:vAlign w:val="center"/>
          </w:tcPr>
          <w:p>
            <w:pPr>
              <w:pStyle w:val="233"/>
              <w:ind w:firstLine="0" w:firstLineChars="0"/>
              <w:jc w:val="both"/>
              <w:rPr>
                <w:rFonts w:hint="eastAsia" w:hAnsi="宋体"/>
                <w:sz w:val="18"/>
                <w:szCs w:val="18"/>
              </w:rPr>
            </w:pPr>
            <w:r>
              <w:rPr>
                <w:rFonts w:hint="eastAsia" w:hAnsi="宋体"/>
                <w:sz w:val="18"/>
                <w:szCs w:val="18"/>
              </w:rPr>
              <w:t>未</w:t>
            </w:r>
            <w:r>
              <w:rPr>
                <w:rFonts w:hAnsi="宋体"/>
                <w:sz w:val="18"/>
                <w:szCs w:val="18"/>
              </w:rPr>
              <w:t>完成单程</w:t>
            </w:r>
            <w:r>
              <w:rPr>
                <w:rFonts w:hint="eastAsia" w:hAnsi="宋体"/>
                <w:sz w:val="18"/>
                <w:szCs w:val="18"/>
              </w:rPr>
              <w:t>列次</w:t>
            </w:r>
          </w:p>
        </w:tc>
        <w:tc>
          <w:tcPr>
            <w:tcW w:w="1255" w:type="pct"/>
            <w:vAlign w:val="center"/>
          </w:tcPr>
          <w:p>
            <w:pPr>
              <w:pStyle w:val="233"/>
              <w:ind w:firstLine="0" w:firstLineChars="0"/>
              <w:jc w:val="center"/>
              <w:rPr>
                <w:rFonts w:hint="eastAsia" w:hAnsi="宋体"/>
                <w:sz w:val="18"/>
                <w:szCs w:val="18"/>
              </w:rPr>
            </w:pPr>
            <w:r>
              <w:rPr>
                <w:rFonts w:hint="eastAsia" w:hAnsi="宋体"/>
                <w:sz w:val="18"/>
                <w:szCs w:val="18"/>
              </w:rPr>
              <w:t>A.29</w:t>
            </w:r>
          </w:p>
        </w:tc>
      </w:tr>
    </w:tbl>
    <w:p>
      <w:pPr>
        <w:pStyle w:val="58"/>
        <w:ind w:firstLine="420"/>
      </w:pPr>
    </w:p>
    <w:p>
      <w:pPr>
        <w:pStyle w:val="58"/>
        <w:ind w:firstLine="420"/>
      </w:pPr>
    </w:p>
    <w:p>
      <w:pPr>
        <w:pStyle w:val="58"/>
      </w:pPr>
    </w:p>
    <w:p>
      <w:pPr>
        <w:pStyle w:val="58"/>
      </w:pPr>
    </w:p>
    <w:p>
      <w:pPr>
        <w:pStyle w:val="58"/>
        <w:ind w:firstLine="420"/>
        <w:sectPr>
          <w:pgSz w:w="11906" w:h="16838"/>
          <w:pgMar w:top="2410" w:right="1134" w:bottom="1134" w:left="1134" w:header="1418" w:footer="1134" w:gutter="284"/>
          <w:pgNumType w:start="1"/>
          <w:cols w:space="425" w:num="1"/>
          <w:formProt w:val="0"/>
          <w:docGrid w:linePitch="312" w:charSpace="0"/>
        </w:sectPr>
      </w:pPr>
    </w:p>
    <w:p>
      <w:pPr>
        <w:pStyle w:val="78"/>
        <w:spacing w:before="60" w:after="120"/>
      </w:pPr>
      <w:bookmarkStart w:id="278" w:name="_Toc25405"/>
      <w:r>
        <w:br w:type="textWrapping"/>
      </w:r>
      <w:bookmarkStart w:id="279" w:name="_Toc82684584"/>
      <w:bookmarkStart w:id="280" w:name="_Toc82677006"/>
      <w:bookmarkStart w:id="281" w:name="_Toc82676893"/>
      <w:r>
        <w:rPr>
          <w:rFonts w:hint="eastAsia"/>
        </w:rPr>
        <w:t>（规范性）</w:t>
      </w:r>
      <w:r>
        <w:br w:type="textWrapping"/>
      </w:r>
      <w:bookmarkEnd w:id="279"/>
      <w:bookmarkEnd w:id="280"/>
      <w:bookmarkEnd w:id="281"/>
      <w:r>
        <w:rPr>
          <w:rFonts w:hint="eastAsia"/>
        </w:rPr>
        <w:t>运行指标定义及计算方法</w:t>
      </w:r>
      <w:bookmarkEnd w:id="278"/>
    </w:p>
    <w:p>
      <w:pPr>
        <w:pStyle w:val="80"/>
        <w:spacing w:before="120" w:after="120"/>
        <w:rPr>
          <w:rFonts w:hint="eastAsia"/>
        </w:rPr>
      </w:pPr>
      <w:bookmarkStart w:id="282" w:name="_Toc25704"/>
      <w:bookmarkStart w:id="283" w:name="_Toc20700"/>
      <w:r>
        <w:rPr>
          <w:rFonts w:hint="eastAsia"/>
        </w:rPr>
        <w:t>配属列车数</w:t>
      </w:r>
      <w:bookmarkEnd w:id="282"/>
      <w:bookmarkEnd w:id="283"/>
    </w:p>
    <w:p>
      <w:pPr>
        <w:pStyle w:val="81"/>
        <w:spacing w:before="120" w:after="120"/>
        <w:rPr>
          <w:rFonts w:hint="eastAsia"/>
        </w:rPr>
      </w:pPr>
      <w:r>
        <w:rPr>
          <w:rFonts w:hint="eastAsia"/>
        </w:rPr>
        <w:t>线路配属列车数</w:t>
      </w:r>
    </w:p>
    <w:p>
      <w:pPr>
        <w:pStyle w:val="233"/>
        <w:rPr>
          <w:szCs w:val="21"/>
        </w:rPr>
      </w:pPr>
      <w:r>
        <w:rPr>
          <w:rFonts w:hint="eastAsia"/>
          <w:szCs w:val="21"/>
        </w:rPr>
        <w:t>定义：统计期末，运营线路所拥有的用于运营服务的全部列车数。</w:t>
      </w:r>
    </w:p>
    <w:p>
      <w:pPr>
        <w:pStyle w:val="233"/>
        <w:rPr>
          <w:szCs w:val="21"/>
        </w:rPr>
      </w:pPr>
      <w:r>
        <w:rPr>
          <w:rFonts w:hint="eastAsia"/>
          <w:szCs w:val="21"/>
        </w:rPr>
        <w:t>单位：列。</w:t>
      </w:r>
    </w:p>
    <w:p>
      <w:pPr>
        <w:pStyle w:val="81"/>
        <w:spacing w:before="120" w:after="120"/>
        <w:rPr>
          <w:rFonts w:hint="eastAsia"/>
        </w:rPr>
      </w:pPr>
      <w:r>
        <w:rPr>
          <w:rFonts w:hint="eastAsia"/>
        </w:rPr>
        <w:t>线路日均配属列车数</w:t>
      </w:r>
    </w:p>
    <w:p>
      <w:pPr>
        <w:pStyle w:val="233"/>
        <w:keepNext w:val="0"/>
        <w:keepLines w:val="0"/>
        <w:pageBreakBefore w:val="0"/>
        <w:kinsoku/>
        <w:wordWrap/>
        <w:overflowPunct/>
        <w:topLinePunct w:val="0"/>
        <w:autoSpaceDE w:val="0"/>
        <w:autoSpaceDN w:val="0"/>
        <w:bidi w:val="0"/>
        <w:adjustRightInd/>
        <w:snapToGrid/>
        <w:textAlignment w:val="auto"/>
        <w:rPr>
          <w:szCs w:val="21"/>
        </w:rPr>
      </w:pPr>
      <w:r>
        <w:rPr>
          <w:rFonts w:hint="eastAsia"/>
          <w:szCs w:val="21"/>
        </w:rPr>
        <w:t>定义：统计期内，运营线路所拥有的用于运营服务的全部列车数的日平均值。</w:t>
      </w:r>
    </w:p>
    <w:p>
      <w:pPr>
        <w:pStyle w:val="233"/>
        <w:keepNext w:val="0"/>
        <w:keepLines w:val="0"/>
        <w:pageBreakBefore w:val="0"/>
        <w:kinsoku/>
        <w:wordWrap/>
        <w:overflowPunct/>
        <w:topLinePunct w:val="0"/>
        <w:autoSpaceDE w:val="0"/>
        <w:autoSpaceDN w:val="0"/>
        <w:bidi w:val="0"/>
        <w:adjustRightInd/>
        <w:snapToGrid/>
        <w:textAlignment w:val="auto"/>
        <w:rPr>
          <w:szCs w:val="21"/>
        </w:rPr>
      </w:pPr>
      <w:r>
        <w:rPr>
          <w:rFonts w:hint="eastAsia"/>
          <w:szCs w:val="21"/>
        </w:rPr>
        <w:t>单位：列每日。</w:t>
      </w:r>
    </w:p>
    <w:p>
      <w:pPr>
        <w:pStyle w:val="233"/>
        <w:keepNext w:val="0"/>
        <w:keepLines w:val="0"/>
        <w:pageBreakBefore w:val="0"/>
        <w:kinsoku/>
        <w:wordWrap/>
        <w:overflowPunct/>
        <w:topLinePunct w:val="0"/>
        <w:autoSpaceDE w:val="0"/>
        <w:autoSpaceDN w:val="0"/>
        <w:bidi w:val="0"/>
        <w:adjustRightInd/>
        <w:snapToGrid/>
        <w:textAlignment w:val="auto"/>
        <w:rPr>
          <w:szCs w:val="21"/>
        </w:rPr>
      </w:pPr>
      <w:r>
        <w:rPr>
          <w:rFonts w:hint="eastAsia"/>
          <w:szCs w:val="21"/>
        </w:rPr>
        <w:t>计算方法：见式A.1。</w:t>
      </w:r>
    </w:p>
    <w:p>
      <w:pPr>
        <w:pStyle w:val="233"/>
        <w:keepNext w:val="0"/>
        <w:keepLines w:val="0"/>
        <w:pageBreakBefore w:val="0"/>
        <w:kinsoku/>
        <w:wordWrap/>
        <w:overflowPunct/>
        <w:topLinePunct w:val="0"/>
        <w:autoSpaceDE w:val="0"/>
        <w:autoSpaceDN w:val="0"/>
        <w:bidi w:val="0"/>
        <w:adjustRightInd/>
        <w:snapToGrid/>
        <w:jc w:val="right"/>
        <w:textAlignment w:val="auto"/>
        <w:rPr>
          <w:rFonts w:hint="eastAsia" w:hAnsi="Cambria Math"/>
          <w:szCs w:val="21"/>
        </w:rPr>
      </w:pPr>
      <m:oMath>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1l</m:t>
            </m:r>
            <m:ctrlPr>
              <w:rPr>
                <w:rFonts w:ascii="Cambria Math" w:hAnsi="Cambria Math"/>
                <w:i/>
                <w:szCs w:val="21"/>
              </w:rPr>
            </m:ctrlPr>
          </m:sub>
        </m:sSub>
        <m:r>
          <w:rPr>
            <w:rFonts w:ascii="Cambria Math" w:hAnsi="Cambria Math"/>
            <w:szCs w:val="21"/>
          </w:rPr>
          <m:t>=</m:t>
        </m:r>
        <m:f>
          <m:fPr>
            <m:ctrlPr>
              <w:rPr>
                <w:rFonts w:ascii="Cambria Math" w:hAnsi="Cambria Math"/>
                <w:i/>
                <w:szCs w:val="21"/>
              </w:rPr>
            </m:ctrlPr>
          </m:fPr>
          <m:num>
            <m:r>
              <w:rPr>
                <w:rFonts w:ascii="Cambria Math" w:hAnsi="Cambria Math"/>
                <w:szCs w:val="21"/>
              </w:rPr>
              <m:t>∑</m:t>
            </m:r>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pl</m:t>
                </m:r>
                <m:ctrlPr>
                  <w:rPr>
                    <w:rFonts w:ascii="Cambria Math" w:hAnsi="Cambria Math"/>
                    <w:i/>
                    <w:szCs w:val="21"/>
                  </w:rPr>
                </m:ctrlPr>
              </m:sub>
            </m:sSub>
            <m:ctrlPr>
              <w:rPr>
                <w:rFonts w:ascii="Cambria Math" w:hAnsi="Cambria Math"/>
                <w:i/>
                <w:szCs w:val="21"/>
              </w:rPr>
            </m:ctrlPr>
          </m:num>
          <m:den>
            <m:sSub>
              <m:sSubPr>
                <m:ctrlPr>
                  <w:rPr>
                    <w:rFonts w:ascii="Cambria Math" w:hAnsi="Cambria Math"/>
                    <w:i/>
                    <w:szCs w:val="21"/>
                  </w:rPr>
                </m:ctrlPr>
              </m:sSubPr>
              <m:e>
                <m:r>
                  <w:rPr>
                    <w:rFonts w:ascii="Cambria Math" w:hAnsi="Cambria Math"/>
                    <w:szCs w:val="21"/>
                  </w:rPr>
                  <m:t>T</m:t>
                </m:r>
                <m:ctrlPr>
                  <w:rPr>
                    <w:rFonts w:ascii="Cambria Math" w:hAnsi="Cambria Math"/>
                    <w:i/>
                    <w:szCs w:val="21"/>
                  </w:rPr>
                </m:ctrlPr>
              </m:e>
              <m:sub>
                <m:r>
                  <w:rPr>
                    <w:rFonts w:ascii="Cambria Math" w:hAnsi="Cambria Math"/>
                    <w:szCs w:val="21"/>
                  </w:rPr>
                  <m:t>d</m:t>
                </m:r>
                <m:ctrlPr>
                  <w:rPr>
                    <w:rFonts w:ascii="Cambria Math" w:hAnsi="Cambria Math"/>
                    <w:i/>
                    <w:szCs w:val="21"/>
                  </w:rPr>
                </m:ctrlPr>
              </m:sub>
            </m:sSub>
            <m:ctrlPr>
              <w:rPr>
                <w:rFonts w:ascii="Cambria Math" w:hAnsi="Cambria Math"/>
                <w:i/>
                <w:szCs w:val="21"/>
              </w:rPr>
            </m:ctrlPr>
          </m:den>
        </m:f>
      </m:oMath>
      <w:r>
        <w:rPr>
          <w:rStyle w:val="244"/>
          <w:rFonts w:hint="eastAsia" w:hAnsi="Cambria Math"/>
          <w:szCs w:val="21"/>
        </w:rPr>
        <w:t>………</w:t>
      </w:r>
      <w:r>
        <w:rPr>
          <w:rStyle w:val="244"/>
          <w:rFonts w:hint="eastAsia" w:hAnsi="Cambria Math"/>
        </w:rPr>
        <w:t>…………………………………</w:t>
      </w:r>
      <w:r>
        <w:rPr>
          <w:rFonts w:hint="eastAsia" w:hAnsi="Cambria Math"/>
          <w:szCs w:val="21"/>
        </w:rPr>
        <w:t>（A.1）</w:t>
      </w:r>
    </w:p>
    <w:p>
      <w:pPr>
        <w:pStyle w:val="233"/>
        <w:keepNext w:val="0"/>
        <w:keepLines w:val="0"/>
        <w:pageBreakBefore w:val="0"/>
        <w:kinsoku/>
        <w:wordWrap/>
        <w:overflowPunct/>
        <w:topLinePunct w:val="0"/>
        <w:autoSpaceDE w:val="0"/>
        <w:autoSpaceDN w:val="0"/>
        <w:bidi w:val="0"/>
        <w:adjustRightInd/>
        <w:snapToGrid/>
        <w:textAlignment w:val="auto"/>
        <w:rPr>
          <w:rFonts w:hint="eastAsia" w:hAnsi="Cambria Math"/>
          <w:szCs w:val="21"/>
        </w:rPr>
      </w:pPr>
      <w:r>
        <w:rPr>
          <w:rFonts w:hint="eastAsia" w:hAnsi="Cambria Math"/>
          <w:szCs w:val="21"/>
        </w:rPr>
        <w:t>式中：</w:t>
      </w:r>
    </w:p>
    <w:p>
      <w:pPr>
        <w:pStyle w:val="233"/>
        <w:keepNext w:val="0"/>
        <w:keepLines w:val="0"/>
        <w:pageBreakBefore w:val="0"/>
        <w:kinsoku/>
        <w:wordWrap/>
        <w:overflowPunct/>
        <w:topLinePunct w:val="0"/>
        <w:autoSpaceDE w:val="0"/>
        <w:autoSpaceDN w:val="0"/>
        <w:bidi w:val="0"/>
        <w:adjustRightInd/>
        <w:snapToGrid/>
        <w:textAlignment w:val="auto"/>
        <w:rPr>
          <w:rFonts w:hint="eastAsia" w:hAnsi="Cambria Math"/>
          <w:szCs w:val="21"/>
        </w:rPr>
      </w:pPr>
      <m:oMath>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1l</m:t>
            </m:r>
            <m:ctrlPr>
              <w:rPr>
                <w:rFonts w:ascii="Cambria Math" w:hAnsi="Cambria Math"/>
                <w:i/>
                <w:szCs w:val="21"/>
              </w:rPr>
            </m:ctrlPr>
          </m:sub>
        </m:sSub>
      </m:oMath>
      <w:r>
        <w:rPr>
          <w:rFonts w:hint="eastAsia" w:hAnsi="Cambria Math"/>
          <w:szCs w:val="21"/>
        </w:rPr>
        <w:t xml:space="preserve"> ——线路日均配属列车数；</w:t>
      </w:r>
    </w:p>
    <w:p>
      <w:pPr>
        <w:pStyle w:val="233"/>
        <w:keepNext w:val="0"/>
        <w:keepLines w:val="0"/>
        <w:pageBreakBefore w:val="0"/>
        <w:kinsoku/>
        <w:wordWrap/>
        <w:overflowPunct/>
        <w:topLinePunct w:val="0"/>
        <w:autoSpaceDE w:val="0"/>
        <w:autoSpaceDN w:val="0"/>
        <w:bidi w:val="0"/>
        <w:adjustRightInd/>
        <w:snapToGrid/>
        <w:textAlignment w:val="auto"/>
        <w:rPr>
          <w:rFonts w:hint="eastAsia" w:ascii="Cambria Math" w:hAnsi="Cambria Math"/>
          <w:szCs w:val="21"/>
        </w:rPr>
      </w:pPr>
      <m:oMath>
        <m:sSub>
          <m:sSubPr>
            <m:ctrlPr>
              <w:rPr>
                <w:rFonts w:hint="eastAsia" w:ascii="Cambria Math" w:hAnsi="Cambria Math"/>
                <w:i/>
                <w:iCs/>
                <w:szCs w:val="21"/>
              </w:rPr>
            </m:ctrlPr>
          </m:sSubPr>
          <m:e>
            <m:r>
              <w:rPr>
                <w:rFonts w:ascii="Cambria Math" w:hAnsi="Cambria Math"/>
                <w:szCs w:val="21"/>
              </w:rPr>
              <m:t>Q</m:t>
            </m:r>
            <m:ctrlPr>
              <w:rPr>
                <w:rFonts w:hint="eastAsia" w:ascii="Cambria Math" w:hAnsi="Cambria Math"/>
                <w:i/>
                <w:iCs/>
                <w:szCs w:val="21"/>
              </w:rPr>
            </m:ctrlPr>
          </m:e>
          <m:sub>
            <m:r>
              <w:rPr>
                <w:rFonts w:ascii="Cambria Math" w:hAnsi="Cambria Math"/>
                <w:szCs w:val="21"/>
              </w:rPr>
              <m:t>pl</m:t>
            </m:r>
            <m:ctrlPr>
              <w:rPr>
                <w:rFonts w:hint="eastAsia" w:ascii="Cambria Math" w:hAnsi="Cambria Math"/>
                <w:i/>
                <w:iCs/>
                <w:szCs w:val="21"/>
              </w:rPr>
            </m:ctrlPr>
          </m:sub>
        </m:sSub>
      </m:oMath>
      <w:r>
        <w:rPr>
          <w:rFonts w:hint="eastAsia" w:ascii="Cambria Math" w:hAnsi="Cambria Math"/>
          <w:szCs w:val="21"/>
        </w:rPr>
        <w:t xml:space="preserve"> ——线路配属列车数，单位为列；</w:t>
      </w:r>
    </w:p>
    <w:p>
      <w:pPr>
        <w:pStyle w:val="233"/>
        <w:keepNext w:val="0"/>
        <w:keepLines w:val="0"/>
        <w:pageBreakBefore w:val="0"/>
        <w:kinsoku/>
        <w:wordWrap/>
        <w:overflowPunct/>
        <w:topLinePunct w:val="0"/>
        <w:autoSpaceDE w:val="0"/>
        <w:autoSpaceDN w:val="0"/>
        <w:bidi w:val="0"/>
        <w:adjustRightInd/>
        <w:snapToGrid/>
        <w:textAlignment w:val="auto"/>
        <w:rPr>
          <w:rFonts w:hint="eastAsia" w:ascii="Cambria Math" w:hAnsi="Cambria Math"/>
          <w:szCs w:val="21"/>
        </w:rPr>
      </w:pPr>
      <m:oMath>
        <m:sSub>
          <m:sSubPr>
            <m:ctrlPr>
              <w:rPr>
                <w:rFonts w:hint="eastAsia" w:ascii="Cambria Math" w:hAnsi="Cambria Math"/>
                <w:i/>
                <w:iCs/>
                <w:szCs w:val="21"/>
              </w:rPr>
            </m:ctrlPr>
          </m:sSubPr>
          <m:e>
            <m:r>
              <w:rPr>
                <w:rFonts w:ascii="Cambria Math" w:hAnsi="Cambria Math"/>
                <w:szCs w:val="21"/>
              </w:rPr>
              <m:t>T</m:t>
            </m:r>
            <m:ctrlPr>
              <w:rPr>
                <w:rFonts w:hint="eastAsia" w:ascii="Cambria Math" w:hAnsi="Cambria Math"/>
                <w:i/>
                <w:iCs/>
                <w:szCs w:val="21"/>
              </w:rPr>
            </m:ctrlPr>
          </m:e>
          <m:sub>
            <m:r>
              <w:rPr>
                <w:rFonts w:ascii="Cambria Math" w:hAnsi="Cambria Math"/>
                <w:szCs w:val="21"/>
              </w:rPr>
              <m:t>d</m:t>
            </m:r>
            <m:ctrlPr>
              <w:rPr>
                <w:rFonts w:hint="eastAsia" w:ascii="Cambria Math" w:hAnsi="Cambria Math"/>
                <w:i/>
                <w:iCs/>
                <w:szCs w:val="21"/>
              </w:rPr>
            </m:ctrlPr>
          </m:sub>
        </m:sSub>
      </m:oMath>
      <w:r>
        <w:rPr>
          <w:rFonts w:hint="eastAsia" w:ascii="Cambria Math" w:hAnsi="Cambria Math"/>
          <w:szCs w:val="21"/>
        </w:rPr>
        <w:t xml:space="preserve"> ——统计天数，单位为日。</w:t>
      </w:r>
    </w:p>
    <w:p>
      <w:pPr>
        <w:pStyle w:val="181"/>
        <w:keepNext w:val="0"/>
        <w:keepLines w:val="0"/>
        <w:pageBreakBefore w:val="0"/>
        <w:widowControl w:val="0"/>
        <w:numPr>
          <w:ilvl w:val="0"/>
          <w:numId w:val="0"/>
        </w:numPr>
        <w:kinsoku/>
        <w:wordWrap/>
        <w:overflowPunct/>
        <w:topLinePunct w:val="0"/>
        <w:autoSpaceDE w:val="0"/>
        <w:autoSpaceDN w:val="0"/>
        <w:bidi w:val="0"/>
        <w:adjustRightInd/>
        <w:snapToGrid/>
        <w:ind w:left="420" w:leftChars="200" w:firstLine="0" w:firstLineChars="0"/>
        <w:textAlignment w:val="auto"/>
        <w:rPr>
          <w:rFonts w:hint="eastAsia"/>
          <w:lang w:val="en-US" w:eastAsia="zh-CN"/>
        </w:rPr>
      </w:pPr>
      <w:r>
        <w:rPr>
          <w:rFonts w:hint="eastAsia" w:ascii="黑体" w:hAnsi="黑体" w:eastAsia="黑体" w:cs="黑体"/>
          <w:lang w:val="en-US" w:eastAsia="zh-CN"/>
        </w:rPr>
        <w:t>注1：</w:t>
      </w:r>
      <w:r>
        <w:rPr>
          <w:rFonts w:hint="eastAsia"/>
          <w:lang w:val="en-US" w:eastAsia="zh-CN"/>
        </w:rPr>
        <w:t>拥有是指在固定资产台账中所列出的企业资产，包括经营租赁和融资租赁。</w:t>
      </w:r>
    </w:p>
    <w:p>
      <w:pPr>
        <w:pStyle w:val="181"/>
        <w:keepNext w:val="0"/>
        <w:keepLines w:val="0"/>
        <w:pageBreakBefore w:val="0"/>
        <w:widowControl w:val="0"/>
        <w:numPr>
          <w:ilvl w:val="0"/>
          <w:numId w:val="0"/>
        </w:numPr>
        <w:kinsoku/>
        <w:wordWrap/>
        <w:overflowPunct/>
        <w:topLinePunct w:val="0"/>
        <w:autoSpaceDE w:val="0"/>
        <w:autoSpaceDN w:val="0"/>
        <w:bidi w:val="0"/>
        <w:adjustRightInd/>
        <w:snapToGrid/>
        <w:ind w:left="420" w:leftChars="200" w:firstLine="0" w:firstLineChars="0"/>
        <w:textAlignment w:val="auto"/>
        <w:rPr>
          <w:rFonts w:hint="eastAsia"/>
          <w:lang w:val="en-US" w:eastAsia="zh-CN"/>
        </w:rPr>
      </w:pPr>
      <w:r>
        <w:rPr>
          <w:rFonts w:hint="eastAsia" w:ascii="黑体" w:hAnsi="黑体" w:eastAsia="黑体" w:cs="黑体"/>
          <w:lang w:val="en-US" w:eastAsia="zh-CN"/>
        </w:rPr>
        <w:t>注</w:t>
      </w:r>
      <w:r>
        <w:rPr>
          <w:rFonts w:hint="default" w:ascii="黑体" w:hAnsi="黑体" w:eastAsia="黑体" w:cs="黑体"/>
          <w:lang w:val="en-US" w:eastAsia="zh-CN"/>
        </w:rPr>
        <w:t>2</w:t>
      </w:r>
      <w:r>
        <w:rPr>
          <w:rFonts w:hint="eastAsia" w:ascii="黑体" w:hAnsi="黑体" w:eastAsia="黑体" w:cs="黑体"/>
          <w:lang w:val="en-US" w:eastAsia="zh-CN"/>
        </w:rPr>
        <w:t>：</w:t>
      </w:r>
      <w:r>
        <w:rPr>
          <w:rFonts w:hint="eastAsia"/>
          <w:lang w:val="en-US" w:eastAsia="zh-CN"/>
        </w:rPr>
        <w:t>新购、新制和调入的运营车辆，自交付投入之日起计算。</w:t>
      </w:r>
    </w:p>
    <w:p>
      <w:pPr>
        <w:pStyle w:val="181"/>
        <w:keepNext w:val="0"/>
        <w:keepLines w:val="0"/>
        <w:pageBreakBefore w:val="0"/>
        <w:widowControl w:val="0"/>
        <w:numPr>
          <w:ilvl w:val="0"/>
          <w:numId w:val="0"/>
        </w:numPr>
        <w:kinsoku/>
        <w:wordWrap/>
        <w:overflowPunct/>
        <w:topLinePunct w:val="0"/>
        <w:autoSpaceDE w:val="0"/>
        <w:autoSpaceDN w:val="0"/>
        <w:bidi w:val="0"/>
        <w:adjustRightInd/>
        <w:snapToGrid/>
        <w:ind w:left="420" w:leftChars="200" w:firstLine="0" w:firstLineChars="0"/>
        <w:textAlignment w:val="auto"/>
        <w:rPr>
          <w:rFonts w:hint="eastAsia"/>
          <w:lang w:val="en-US" w:eastAsia="zh-CN"/>
        </w:rPr>
      </w:pPr>
      <w:r>
        <w:rPr>
          <w:rFonts w:hint="eastAsia" w:ascii="黑体" w:hAnsi="黑体" w:eastAsia="黑体" w:cs="黑体"/>
          <w:lang w:val="en-US" w:eastAsia="zh-CN"/>
        </w:rPr>
        <w:t>注</w:t>
      </w:r>
      <w:r>
        <w:rPr>
          <w:rFonts w:hint="default" w:ascii="黑体" w:hAnsi="黑体" w:eastAsia="黑体" w:cs="黑体"/>
          <w:lang w:val="en-US" w:eastAsia="zh-CN"/>
        </w:rPr>
        <w:t>3</w:t>
      </w:r>
      <w:r>
        <w:rPr>
          <w:rFonts w:hint="eastAsia" w:ascii="黑体" w:hAnsi="黑体" w:eastAsia="黑体" w:cs="黑体"/>
          <w:lang w:val="en-US" w:eastAsia="zh-CN"/>
        </w:rPr>
        <w:t>：</w:t>
      </w:r>
      <w:r>
        <w:rPr>
          <w:rFonts w:hint="eastAsia"/>
          <w:lang w:val="en-US" w:eastAsia="zh-CN"/>
        </w:rPr>
        <w:t>调出、报废和调作他用的运营车辆，自上级主管机关批准之日起不再计入。</w:t>
      </w:r>
    </w:p>
    <w:p>
      <w:pPr>
        <w:pStyle w:val="181"/>
        <w:keepNext w:val="0"/>
        <w:keepLines w:val="0"/>
        <w:pageBreakBefore w:val="0"/>
        <w:widowControl w:val="0"/>
        <w:numPr>
          <w:ilvl w:val="0"/>
          <w:numId w:val="0"/>
        </w:numPr>
        <w:kinsoku/>
        <w:wordWrap/>
        <w:overflowPunct/>
        <w:topLinePunct w:val="0"/>
        <w:autoSpaceDE w:val="0"/>
        <w:autoSpaceDN w:val="0"/>
        <w:bidi w:val="0"/>
        <w:adjustRightInd/>
        <w:snapToGrid/>
        <w:ind w:left="420" w:leftChars="200" w:firstLine="0" w:firstLineChars="0"/>
        <w:textAlignment w:val="auto"/>
        <w:rPr>
          <w:rFonts w:hint="eastAsia"/>
          <w:lang w:val="en-US" w:eastAsia="zh-CN"/>
        </w:rPr>
      </w:pPr>
      <w:r>
        <w:rPr>
          <w:rFonts w:hint="eastAsia" w:ascii="黑体" w:hAnsi="黑体" w:eastAsia="黑体" w:cs="黑体"/>
          <w:lang w:val="en-US" w:eastAsia="zh-CN"/>
        </w:rPr>
        <w:t>注</w:t>
      </w:r>
      <w:r>
        <w:rPr>
          <w:rFonts w:hint="default" w:ascii="黑体" w:hAnsi="黑体" w:eastAsia="黑体" w:cs="黑体"/>
          <w:lang w:val="en-US" w:eastAsia="zh-CN"/>
        </w:rPr>
        <w:t>4</w:t>
      </w:r>
      <w:r>
        <w:rPr>
          <w:rFonts w:hint="eastAsia" w:ascii="黑体" w:hAnsi="黑体" w:eastAsia="黑体" w:cs="黑体"/>
          <w:lang w:val="en-US" w:eastAsia="zh-CN"/>
        </w:rPr>
        <w:t>：</w:t>
      </w:r>
      <w:r>
        <w:rPr>
          <w:rFonts w:hint="eastAsia"/>
          <w:lang w:val="en-US" w:eastAsia="zh-CN"/>
        </w:rPr>
        <w:t>不计不投入载客运营，仅供测试、维护、工程使用的车辆。</w:t>
      </w:r>
    </w:p>
    <w:p>
      <w:pPr>
        <w:pStyle w:val="181"/>
        <w:keepNext w:val="0"/>
        <w:keepLines w:val="0"/>
        <w:pageBreakBefore w:val="0"/>
        <w:widowControl w:val="0"/>
        <w:numPr>
          <w:ilvl w:val="0"/>
          <w:numId w:val="0"/>
        </w:numPr>
        <w:kinsoku/>
        <w:wordWrap/>
        <w:overflowPunct/>
        <w:topLinePunct w:val="0"/>
        <w:autoSpaceDE w:val="0"/>
        <w:autoSpaceDN w:val="0"/>
        <w:bidi w:val="0"/>
        <w:adjustRightInd/>
        <w:snapToGrid/>
        <w:ind w:left="420" w:leftChars="200" w:firstLine="0" w:firstLineChars="0"/>
        <w:textAlignment w:val="auto"/>
        <w:rPr>
          <w:rFonts w:hint="eastAsia"/>
          <w:lang w:val="en-US" w:eastAsia="zh-CN"/>
        </w:rPr>
      </w:pPr>
      <w:r>
        <w:rPr>
          <w:rFonts w:hint="eastAsia" w:ascii="黑体" w:hAnsi="黑体" w:eastAsia="黑体" w:cs="黑体"/>
          <w:lang w:val="en-US" w:eastAsia="zh-CN"/>
        </w:rPr>
        <w:t>注</w:t>
      </w:r>
      <w:r>
        <w:rPr>
          <w:rFonts w:hint="default" w:ascii="黑体" w:hAnsi="黑体" w:eastAsia="黑体" w:cs="黑体"/>
          <w:lang w:val="en-US" w:eastAsia="zh-CN"/>
        </w:rPr>
        <w:t>5</w:t>
      </w:r>
      <w:r>
        <w:rPr>
          <w:rFonts w:hint="eastAsia" w:ascii="黑体" w:hAnsi="黑体" w:eastAsia="黑体" w:cs="黑体"/>
          <w:lang w:val="en-US" w:eastAsia="zh-CN"/>
        </w:rPr>
        <w:t>：</w:t>
      </w:r>
      <w:r>
        <w:rPr>
          <w:rFonts w:hint="eastAsia"/>
          <w:lang w:val="en-US" w:eastAsia="zh-CN"/>
        </w:rPr>
        <w:t>按不同编组数分别统计，再统计总数。</w:t>
      </w:r>
    </w:p>
    <w:p>
      <w:pPr>
        <w:pStyle w:val="80"/>
        <w:spacing w:before="120" w:after="120"/>
        <w:rPr>
          <w:rFonts w:hint="eastAsia"/>
        </w:rPr>
      </w:pPr>
      <w:bookmarkStart w:id="284" w:name="_Toc32569"/>
      <w:bookmarkStart w:id="285" w:name="_Toc29777"/>
      <w:r>
        <w:rPr>
          <w:rFonts w:hint="eastAsia"/>
        </w:rPr>
        <w:t>配属车辆数</w:t>
      </w:r>
      <w:bookmarkEnd w:id="284"/>
      <w:bookmarkEnd w:id="285"/>
    </w:p>
    <w:p>
      <w:pPr>
        <w:pStyle w:val="233"/>
        <w:rPr>
          <w:szCs w:val="21"/>
        </w:rPr>
      </w:pPr>
      <w:r>
        <w:rPr>
          <w:rFonts w:hint="eastAsia"/>
          <w:szCs w:val="21"/>
        </w:rPr>
        <w:t>定义：统计期末，运营线路所拥有的用于运营服务的全部车辆数。</w:t>
      </w:r>
    </w:p>
    <w:p>
      <w:pPr>
        <w:pStyle w:val="233"/>
        <w:rPr>
          <w:szCs w:val="21"/>
        </w:rPr>
      </w:pPr>
      <w:r>
        <w:rPr>
          <w:rFonts w:hint="eastAsia"/>
          <w:szCs w:val="21"/>
        </w:rPr>
        <w:t>单位：辆。</w:t>
      </w:r>
    </w:p>
    <w:p>
      <w:pPr>
        <w:pStyle w:val="80"/>
        <w:spacing w:before="120" w:after="120"/>
        <w:rPr>
          <w:rFonts w:hint="eastAsia"/>
        </w:rPr>
      </w:pPr>
      <w:bookmarkStart w:id="286" w:name="_Toc3291"/>
      <w:bookmarkStart w:id="287" w:name="_Toc28323"/>
      <w:r>
        <w:rPr>
          <w:rFonts w:hint="eastAsia"/>
        </w:rPr>
        <w:t>上线列车数</w:t>
      </w:r>
      <w:bookmarkEnd w:id="286"/>
      <w:bookmarkEnd w:id="287"/>
    </w:p>
    <w:p>
      <w:pPr>
        <w:pStyle w:val="81"/>
        <w:spacing w:before="120" w:after="120"/>
        <w:rPr>
          <w:rFonts w:hint="eastAsia"/>
        </w:rPr>
      </w:pPr>
      <w:r>
        <w:rPr>
          <w:rFonts w:hint="eastAsia"/>
        </w:rPr>
        <w:t>线路日均上线列车数</w:t>
      </w:r>
    </w:p>
    <w:p>
      <w:pPr>
        <w:pStyle w:val="233"/>
        <w:keepNext w:val="0"/>
        <w:keepLines w:val="0"/>
        <w:pageBreakBefore w:val="0"/>
        <w:widowControl/>
        <w:kinsoku/>
        <w:wordWrap/>
        <w:overflowPunct/>
        <w:topLinePunct w:val="0"/>
        <w:autoSpaceDE w:val="0"/>
        <w:autoSpaceDN w:val="0"/>
        <w:bidi w:val="0"/>
        <w:adjustRightInd/>
        <w:snapToGrid/>
        <w:textAlignment w:val="auto"/>
        <w:rPr>
          <w:szCs w:val="21"/>
        </w:rPr>
      </w:pPr>
      <w:r>
        <w:rPr>
          <w:rFonts w:hint="eastAsia"/>
          <w:szCs w:val="21"/>
        </w:rPr>
        <w:t>定义：统计期内，线路正常工作日运营中实际用于上线列车的平均值。</w:t>
      </w:r>
    </w:p>
    <w:p>
      <w:pPr>
        <w:pStyle w:val="233"/>
        <w:keepNext w:val="0"/>
        <w:keepLines w:val="0"/>
        <w:pageBreakBefore w:val="0"/>
        <w:widowControl/>
        <w:kinsoku/>
        <w:wordWrap/>
        <w:overflowPunct/>
        <w:topLinePunct w:val="0"/>
        <w:autoSpaceDE w:val="0"/>
        <w:autoSpaceDN w:val="0"/>
        <w:bidi w:val="0"/>
        <w:adjustRightInd/>
        <w:snapToGrid/>
        <w:textAlignment w:val="auto"/>
        <w:rPr>
          <w:szCs w:val="21"/>
        </w:rPr>
      </w:pPr>
      <w:r>
        <w:rPr>
          <w:rFonts w:hint="eastAsia"/>
          <w:szCs w:val="21"/>
        </w:rPr>
        <w:t>单位：列每日。</w:t>
      </w:r>
    </w:p>
    <w:p>
      <w:pPr>
        <w:pStyle w:val="233"/>
        <w:keepNext w:val="0"/>
        <w:keepLines w:val="0"/>
        <w:pageBreakBefore w:val="0"/>
        <w:widowControl/>
        <w:kinsoku/>
        <w:wordWrap/>
        <w:overflowPunct/>
        <w:topLinePunct w:val="0"/>
        <w:autoSpaceDE w:val="0"/>
        <w:autoSpaceDN w:val="0"/>
        <w:bidi w:val="0"/>
        <w:adjustRightInd/>
        <w:snapToGrid/>
        <w:textAlignment w:val="auto"/>
        <w:rPr>
          <w:szCs w:val="21"/>
        </w:rPr>
      </w:pPr>
      <w:r>
        <w:rPr>
          <w:rFonts w:hint="eastAsia"/>
          <w:szCs w:val="21"/>
        </w:rPr>
        <w:t>计算方法：见式A.2。</w:t>
      </w:r>
    </w:p>
    <w:p>
      <w:pPr>
        <w:pStyle w:val="233"/>
        <w:keepNext w:val="0"/>
        <w:keepLines w:val="0"/>
        <w:pageBreakBefore w:val="0"/>
        <w:widowControl/>
        <w:kinsoku/>
        <w:wordWrap/>
        <w:overflowPunct/>
        <w:topLinePunct w:val="0"/>
        <w:autoSpaceDE w:val="0"/>
        <w:autoSpaceDN w:val="0"/>
        <w:bidi w:val="0"/>
        <w:adjustRightInd/>
        <w:snapToGrid/>
        <w:jc w:val="right"/>
        <w:textAlignment w:val="auto"/>
        <w:rPr>
          <w:rFonts w:hint="eastAsia" w:hAnsi="Cambria Math"/>
          <w:szCs w:val="21"/>
        </w:rPr>
      </w:pPr>
      <m:oMath>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2l</m:t>
            </m:r>
            <m:ctrlPr>
              <w:rPr>
                <w:rFonts w:ascii="Cambria Math" w:hAnsi="Cambria Math"/>
                <w:i/>
                <w:szCs w:val="21"/>
              </w:rPr>
            </m:ctrlPr>
          </m:sub>
        </m:sSub>
        <m:r>
          <w:rPr>
            <w:rFonts w:ascii="Cambria Math" w:hAnsi="Cambria Math"/>
            <w:szCs w:val="21"/>
          </w:rPr>
          <m:t>=</m:t>
        </m:r>
        <m:f>
          <m:fPr>
            <m:ctrlPr>
              <w:rPr>
                <w:rFonts w:ascii="Cambria Math" w:hAnsi="Cambria Math"/>
                <w:i/>
                <w:szCs w:val="21"/>
              </w:rPr>
            </m:ctrlPr>
          </m:fPr>
          <m:num>
            <m:r>
              <w:rPr>
                <w:rFonts w:ascii="Cambria Math" w:hAnsi="Cambria Math"/>
                <w:szCs w:val="21"/>
              </w:rPr>
              <m:t>∑</m:t>
            </m:r>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sl</m:t>
                </m:r>
                <m:ctrlPr>
                  <w:rPr>
                    <w:rFonts w:ascii="Cambria Math" w:hAnsi="Cambria Math"/>
                    <w:i/>
                    <w:szCs w:val="21"/>
                  </w:rPr>
                </m:ctrlPr>
              </m:sub>
            </m:sSub>
            <m:ctrlPr>
              <w:rPr>
                <w:rFonts w:ascii="Cambria Math" w:hAnsi="Cambria Math"/>
                <w:i/>
                <w:szCs w:val="21"/>
              </w:rPr>
            </m:ctrlPr>
          </m:num>
          <m:den>
            <m:sSub>
              <m:sSubPr>
                <m:ctrlPr>
                  <w:rPr>
                    <w:rFonts w:ascii="Cambria Math" w:hAnsi="Cambria Math"/>
                    <w:i/>
                    <w:szCs w:val="21"/>
                  </w:rPr>
                </m:ctrlPr>
              </m:sSubPr>
              <m:e>
                <m:r>
                  <w:rPr>
                    <w:rFonts w:ascii="Cambria Math" w:hAnsi="Cambria Math"/>
                    <w:szCs w:val="21"/>
                  </w:rPr>
                  <m:t>T</m:t>
                </m:r>
                <m:ctrlPr>
                  <w:rPr>
                    <w:rFonts w:ascii="Cambria Math" w:hAnsi="Cambria Math"/>
                    <w:i/>
                    <w:szCs w:val="21"/>
                  </w:rPr>
                </m:ctrlPr>
              </m:e>
              <m:sub>
                <m:r>
                  <w:rPr>
                    <w:rFonts w:ascii="Cambria Math" w:hAnsi="Cambria Math"/>
                    <w:szCs w:val="21"/>
                  </w:rPr>
                  <m:t>d</m:t>
                </m:r>
                <m:ctrlPr>
                  <w:rPr>
                    <w:rFonts w:ascii="Cambria Math" w:hAnsi="Cambria Math"/>
                    <w:i/>
                    <w:szCs w:val="21"/>
                  </w:rPr>
                </m:ctrlPr>
              </m:sub>
            </m:sSub>
            <m:ctrlPr>
              <w:rPr>
                <w:rFonts w:ascii="Cambria Math" w:hAnsi="Cambria Math"/>
                <w:i/>
                <w:szCs w:val="21"/>
              </w:rPr>
            </m:ctrlPr>
          </m:den>
        </m:f>
      </m:oMath>
      <w:r>
        <w:rPr>
          <w:rStyle w:val="244"/>
        </w:rPr>
        <w:t>…………………………………………</w:t>
      </w:r>
      <w:r>
        <w:rPr>
          <w:rFonts w:hint="eastAsia" w:hAnsi="Cambria Math"/>
          <w:szCs w:val="21"/>
        </w:rPr>
        <w:t>（A.2）</w:t>
      </w:r>
    </w:p>
    <w:p>
      <w:pPr>
        <w:pStyle w:val="233"/>
        <w:keepNext w:val="0"/>
        <w:keepLines w:val="0"/>
        <w:pageBreakBefore w:val="0"/>
        <w:widowControl/>
        <w:kinsoku/>
        <w:wordWrap/>
        <w:overflowPunct/>
        <w:topLinePunct w:val="0"/>
        <w:autoSpaceDE w:val="0"/>
        <w:autoSpaceDN w:val="0"/>
        <w:bidi w:val="0"/>
        <w:adjustRightInd/>
        <w:snapToGrid/>
        <w:textAlignment w:val="auto"/>
        <w:rPr>
          <w:szCs w:val="21"/>
        </w:rPr>
      </w:pPr>
      <w:r>
        <w:rPr>
          <w:rFonts w:hint="eastAsia"/>
          <w:szCs w:val="21"/>
        </w:rPr>
        <w:t>式中：</w:t>
      </w:r>
    </w:p>
    <w:p>
      <w:pPr>
        <w:pStyle w:val="233"/>
        <w:keepNext w:val="0"/>
        <w:keepLines w:val="0"/>
        <w:pageBreakBefore w:val="0"/>
        <w:widowControl/>
        <w:kinsoku/>
        <w:wordWrap/>
        <w:overflowPunct/>
        <w:topLinePunct w:val="0"/>
        <w:autoSpaceDE w:val="0"/>
        <w:autoSpaceDN w:val="0"/>
        <w:bidi w:val="0"/>
        <w:adjustRightInd/>
        <w:snapToGrid/>
        <w:textAlignment w:val="auto"/>
        <w:rPr>
          <w:szCs w:val="21"/>
        </w:rPr>
      </w:pPr>
      <m:oMath>
        <m:sSub>
          <m:sSubPr>
            <m:ctrlPr>
              <w:rPr>
                <w:rFonts w:hint="eastAsia" w:ascii="Cambria Math" w:hAnsi="Cambria Math"/>
                <w:i/>
                <w:iCs/>
                <w:szCs w:val="21"/>
              </w:rPr>
            </m:ctrlPr>
          </m:sSubPr>
          <m:e>
            <m:r>
              <w:rPr>
                <w:rFonts w:ascii="Cambria Math" w:hAnsi="Cambria Math"/>
                <w:szCs w:val="21"/>
              </w:rPr>
              <m:t>Q</m:t>
            </m:r>
            <m:ctrlPr>
              <w:rPr>
                <w:rFonts w:hint="eastAsia" w:ascii="Cambria Math" w:hAnsi="Cambria Math"/>
                <w:i/>
                <w:iCs/>
                <w:szCs w:val="21"/>
              </w:rPr>
            </m:ctrlPr>
          </m:e>
          <m:sub>
            <m:r>
              <w:rPr>
                <w:rFonts w:ascii="Cambria Math" w:hAnsi="Cambria Math"/>
                <w:szCs w:val="21"/>
              </w:rPr>
              <m:t>2l</m:t>
            </m:r>
            <m:ctrlPr>
              <w:rPr>
                <w:rFonts w:hint="eastAsia" w:ascii="Cambria Math" w:hAnsi="Cambria Math"/>
                <w:i/>
                <w:iCs/>
                <w:szCs w:val="21"/>
              </w:rPr>
            </m:ctrlPr>
          </m:sub>
        </m:sSub>
      </m:oMath>
      <w:r>
        <w:rPr>
          <w:rFonts w:hint="eastAsia" w:hAnsi="Cambria Math"/>
          <w:szCs w:val="21"/>
        </w:rPr>
        <w:t xml:space="preserve"> ——线路日均上线列车数；</w:t>
      </w:r>
    </w:p>
    <w:p>
      <w:pPr>
        <w:pStyle w:val="233"/>
        <w:keepNext w:val="0"/>
        <w:keepLines w:val="0"/>
        <w:pageBreakBefore w:val="0"/>
        <w:widowControl/>
        <w:kinsoku/>
        <w:wordWrap/>
        <w:overflowPunct/>
        <w:topLinePunct w:val="0"/>
        <w:autoSpaceDE w:val="0"/>
        <w:autoSpaceDN w:val="0"/>
        <w:bidi w:val="0"/>
        <w:adjustRightInd/>
        <w:snapToGrid/>
        <w:textAlignment w:val="auto"/>
        <w:rPr>
          <w:rFonts w:hint="eastAsia" w:hAnsi="Cambria Math"/>
          <w:szCs w:val="21"/>
        </w:rPr>
      </w:pPr>
      <m:oMath>
        <m:sSub>
          <m:sSubPr>
            <m:ctrlPr>
              <w:rPr>
                <w:rFonts w:hint="eastAsia" w:ascii="Cambria Math" w:hAnsi="Cambria Math"/>
                <w:i/>
                <w:iCs/>
                <w:szCs w:val="21"/>
              </w:rPr>
            </m:ctrlPr>
          </m:sSubPr>
          <m:e>
            <m:r>
              <w:rPr>
                <w:rFonts w:ascii="Cambria Math" w:hAnsi="Cambria Math"/>
                <w:szCs w:val="21"/>
              </w:rPr>
              <m:t>Q</m:t>
            </m:r>
            <m:ctrlPr>
              <w:rPr>
                <w:rFonts w:hint="eastAsia" w:ascii="Cambria Math" w:hAnsi="Cambria Math"/>
                <w:i/>
                <w:iCs/>
                <w:szCs w:val="21"/>
              </w:rPr>
            </m:ctrlPr>
          </m:e>
          <m:sub>
            <m:r>
              <w:rPr>
                <w:rFonts w:ascii="Cambria Math" w:hAnsi="Cambria Math"/>
                <w:szCs w:val="21"/>
              </w:rPr>
              <m:t>sl</m:t>
            </m:r>
            <m:ctrlPr>
              <w:rPr>
                <w:rFonts w:hint="eastAsia" w:ascii="Cambria Math" w:hAnsi="Cambria Math"/>
                <w:i/>
                <w:iCs/>
                <w:szCs w:val="21"/>
              </w:rPr>
            </m:ctrlPr>
          </m:sub>
        </m:sSub>
      </m:oMath>
      <w:r>
        <w:rPr>
          <w:rFonts w:hint="eastAsia" w:hAnsi="Cambria Math"/>
          <w:szCs w:val="21"/>
        </w:rPr>
        <w:t xml:space="preserve"> ——线路工作日上线列车数，单位为列。</w:t>
      </w:r>
    </w:p>
    <w:p>
      <w:pPr>
        <w:pStyle w:val="81"/>
        <w:spacing w:before="120" w:after="120"/>
        <w:rPr>
          <w:rFonts w:hint="eastAsia"/>
        </w:rPr>
      </w:pPr>
      <w:r>
        <w:rPr>
          <w:rFonts w:hint="eastAsia"/>
        </w:rPr>
        <w:t>线路最大上线列车数</w:t>
      </w:r>
    </w:p>
    <w:p>
      <w:pPr>
        <w:pStyle w:val="233"/>
        <w:keepNext w:val="0"/>
        <w:keepLines w:val="0"/>
        <w:pageBreakBefore w:val="0"/>
        <w:kinsoku/>
        <w:wordWrap/>
        <w:overflowPunct/>
        <w:topLinePunct w:val="0"/>
        <w:autoSpaceDE w:val="0"/>
        <w:autoSpaceDN w:val="0"/>
        <w:bidi w:val="0"/>
        <w:adjustRightInd/>
        <w:snapToGrid/>
        <w:textAlignment w:val="auto"/>
        <w:rPr>
          <w:szCs w:val="21"/>
        </w:rPr>
      </w:pPr>
      <w:r>
        <w:rPr>
          <w:rFonts w:hint="eastAsia"/>
          <w:szCs w:val="21"/>
        </w:rPr>
        <w:t>定义：统计期内，线路平日运营中实际用于上线列车的最大值。</w:t>
      </w:r>
    </w:p>
    <w:p>
      <w:pPr>
        <w:pStyle w:val="233"/>
        <w:keepNext w:val="0"/>
        <w:keepLines w:val="0"/>
        <w:pageBreakBefore w:val="0"/>
        <w:kinsoku/>
        <w:wordWrap/>
        <w:overflowPunct/>
        <w:topLinePunct w:val="0"/>
        <w:autoSpaceDE w:val="0"/>
        <w:autoSpaceDN w:val="0"/>
        <w:bidi w:val="0"/>
        <w:adjustRightInd/>
        <w:snapToGrid/>
        <w:textAlignment w:val="auto"/>
        <w:rPr>
          <w:szCs w:val="21"/>
        </w:rPr>
      </w:pPr>
      <w:r>
        <w:rPr>
          <w:rFonts w:hint="eastAsia"/>
          <w:szCs w:val="21"/>
        </w:rPr>
        <w:t>单位：列。</w:t>
      </w:r>
    </w:p>
    <w:p>
      <w:pPr>
        <w:pStyle w:val="233"/>
        <w:keepNext w:val="0"/>
        <w:keepLines w:val="0"/>
        <w:pageBreakBefore w:val="0"/>
        <w:kinsoku/>
        <w:wordWrap/>
        <w:overflowPunct/>
        <w:topLinePunct w:val="0"/>
        <w:autoSpaceDE w:val="0"/>
        <w:autoSpaceDN w:val="0"/>
        <w:bidi w:val="0"/>
        <w:adjustRightInd/>
        <w:snapToGrid/>
        <w:textAlignment w:val="auto"/>
        <w:rPr>
          <w:szCs w:val="21"/>
        </w:rPr>
      </w:pPr>
      <w:r>
        <w:rPr>
          <w:rFonts w:hint="eastAsia"/>
          <w:szCs w:val="21"/>
        </w:rPr>
        <w:t>计算方法：见式A.3。</w:t>
      </w:r>
    </w:p>
    <w:p>
      <w:pPr>
        <w:pStyle w:val="233"/>
        <w:keepNext w:val="0"/>
        <w:keepLines w:val="0"/>
        <w:pageBreakBefore w:val="0"/>
        <w:kinsoku/>
        <w:wordWrap/>
        <w:overflowPunct/>
        <w:topLinePunct w:val="0"/>
        <w:autoSpaceDE w:val="0"/>
        <w:autoSpaceDN w:val="0"/>
        <w:bidi w:val="0"/>
        <w:adjustRightInd/>
        <w:snapToGrid/>
        <w:jc w:val="right"/>
        <w:textAlignment w:val="auto"/>
        <w:rPr>
          <w:rFonts w:hint="eastAsia" w:hAnsi="Cambria Math"/>
          <w:szCs w:val="21"/>
        </w:rPr>
      </w:pPr>
      <m:oMath>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ml</m:t>
            </m:r>
            <m:ctrlPr>
              <w:rPr>
                <w:rFonts w:ascii="Cambria Math" w:hAnsi="Cambria Math"/>
                <w:i/>
                <w:szCs w:val="21"/>
              </w:rPr>
            </m:ctrlPr>
          </m:sub>
        </m:sSub>
        <m:r>
          <w:rPr>
            <w:rFonts w:ascii="Cambria Math" w:hAnsi="Cambria Math"/>
            <w:szCs w:val="21"/>
          </w:rPr>
          <m:t>=Max</m:t>
        </m:r>
        <m:r>
          <m:rPr>
            <m:sty m:val="p"/>
          </m:rPr>
          <w:rPr>
            <w:rFonts w:ascii="Cambria Math" w:hAnsi="Cambria Math"/>
            <w:szCs w:val="21"/>
          </w:rPr>
          <m:t>﹛</m:t>
        </m:r>
        <m:sSub>
          <m:sSubPr>
            <m:ctrlPr>
              <w:rPr>
                <w:rFonts w:hint="eastAsia" w:ascii="Cambria Math" w:hAnsi="Cambria Math"/>
                <w:i/>
                <w:iCs/>
                <w:szCs w:val="21"/>
              </w:rPr>
            </m:ctrlPr>
          </m:sSubPr>
          <m:e>
            <m:r>
              <w:rPr>
                <w:rFonts w:ascii="Cambria Math" w:hAnsi="Cambria Math"/>
                <w:szCs w:val="21"/>
              </w:rPr>
              <m:t>Q</m:t>
            </m:r>
            <m:ctrlPr>
              <w:rPr>
                <w:rFonts w:hint="eastAsia" w:ascii="Cambria Math" w:hAnsi="Cambria Math"/>
                <w:i/>
                <w:iCs/>
                <w:szCs w:val="21"/>
              </w:rPr>
            </m:ctrlPr>
          </m:e>
          <m:sub>
            <m:r>
              <w:rPr>
                <w:rFonts w:ascii="Cambria Math" w:hAnsi="Cambria Math"/>
                <w:szCs w:val="21"/>
              </w:rPr>
              <m:t>sl</m:t>
            </m:r>
            <m:ctrlPr>
              <w:rPr>
                <w:rFonts w:hint="eastAsia" w:ascii="Cambria Math" w:hAnsi="Cambria Math"/>
                <w:i/>
                <w:iCs/>
                <w:szCs w:val="21"/>
              </w:rPr>
            </m:ctrlPr>
          </m:sub>
        </m:sSub>
        <m:r>
          <m:rPr>
            <m:sty m:val="p"/>
          </m:rPr>
          <w:rPr>
            <w:rFonts w:ascii="Cambria Math" w:hAnsi="Cambria Math"/>
            <w:szCs w:val="21"/>
          </w:rPr>
          <m:t>﹜</m:t>
        </m:r>
      </m:oMath>
      <w:r>
        <w:rPr>
          <w:rStyle w:val="244"/>
          <w:szCs w:val="21"/>
        </w:rPr>
        <w:t>…………………………………</w:t>
      </w:r>
      <w:r>
        <w:rPr>
          <w:rFonts w:hint="eastAsia" w:hAnsi="Cambria Math"/>
          <w:szCs w:val="21"/>
        </w:rPr>
        <w:t>（A.3）</w:t>
      </w:r>
    </w:p>
    <w:p>
      <w:pPr>
        <w:pStyle w:val="233"/>
        <w:keepNext w:val="0"/>
        <w:keepLines w:val="0"/>
        <w:pageBreakBefore w:val="0"/>
        <w:kinsoku/>
        <w:wordWrap/>
        <w:overflowPunct/>
        <w:topLinePunct w:val="0"/>
        <w:autoSpaceDE w:val="0"/>
        <w:autoSpaceDN w:val="0"/>
        <w:bidi w:val="0"/>
        <w:adjustRightInd/>
        <w:snapToGrid/>
        <w:textAlignment w:val="auto"/>
        <w:rPr>
          <w:szCs w:val="21"/>
        </w:rPr>
      </w:pPr>
      <w:r>
        <w:rPr>
          <w:rFonts w:hint="eastAsia"/>
          <w:szCs w:val="21"/>
        </w:rPr>
        <w:t>式中：</w:t>
      </w:r>
    </w:p>
    <w:p>
      <w:pPr>
        <w:pStyle w:val="233"/>
        <w:keepNext w:val="0"/>
        <w:keepLines w:val="0"/>
        <w:pageBreakBefore w:val="0"/>
        <w:kinsoku/>
        <w:wordWrap/>
        <w:overflowPunct/>
        <w:topLinePunct w:val="0"/>
        <w:autoSpaceDE w:val="0"/>
        <w:autoSpaceDN w:val="0"/>
        <w:bidi w:val="0"/>
        <w:adjustRightInd/>
        <w:snapToGrid/>
        <w:textAlignment w:val="auto"/>
        <w:rPr>
          <w:rFonts w:hint="eastAsia" w:hAnsi="Cambria Math"/>
          <w:szCs w:val="21"/>
        </w:rPr>
      </w:pPr>
      <m:oMath>
        <m:sSub>
          <m:sSubPr>
            <m:ctrlPr>
              <w:rPr>
                <w:rFonts w:hint="eastAsia" w:ascii="Cambria Math" w:hAnsi="Cambria Math"/>
                <w:i/>
                <w:iCs/>
                <w:szCs w:val="21"/>
              </w:rPr>
            </m:ctrlPr>
          </m:sSubPr>
          <m:e>
            <m:r>
              <w:rPr>
                <w:rFonts w:ascii="Cambria Math" w:hAnsi="Cambria Math"/>
                <w:szCs w:val="21"/>
              </w:rPr>
              <m:t>Q</m:t>
            </m:r>
            <m:ctrlPr>
              <w:rPr>
                <w:rFonts w:hint="eastAsia" w:ascii="Cambria Math" w:hAnsi="Cambria Math"/>
                <w:i/>
                <w:iCs/>
                <w:szCs w:val="21"/>
              </w:rPr>
            </m:ctrlPr>
          </m:e>
          <m:sub>
            <m:r>
              <w:rPr>
                <w:rFonts w:ascii="Cambria Math" w:hAnsi="Cambria Math"/>
                <w:szCs w:val="21"/>
              </w:rPr>
              <m:t>ml</m:t>
            </m:r>
            <m:ctrlPr>
              <w:rPr>
                <w:rFonts w:hint="eastAsia" w:ascii="Cambria Math" w:hAnsi="Cambria Math"/>
                <w:i/>
                <w:iCs/>
                <w:szCs w:val="21"/>
              </w:rPr>
            </m:ctrlPr>
          </m:sub>
        </m:sSub>
      </m:oMath>
      <w:r>
        <w:rPr>
          <w:rFonts w:hint="eastAsia" w:hAnsi="Cambria Math"/>
          <w:szCs w:val="21"/>
        </w:rPr>
        <w:t xml:space="preserve"> ——线路最大上线列车数。</w:t>
      </w:r>
    </w:p>
    <w:p>
      <w:pPr>
        <w:pStyle w:val="181"/>
        <w:keepNext w:val="0"/>
        <w:keepLines w:val="0"/>
        <w:pageBreakBefore w:val="0"/>
        <w:widowControl w:val="0"/>
        <w:numPr>
          <w:ilvl w:val="0"/>
          <w:numId w:val="0"/>
        </w:numPr>
        <w:kinsoku/>
        <w:wordWrap/>
        <w:overflowPunct/>
        <w:topLinePunct w:val="0"/>
        <w:autoSpaceDE w:val="0"/>
        <w:autoSpaceDN w:val="0"/>
        <w:bidi w:val="0"/>
        <w:adjustRightInd/>
        <w:snapToGrid/>
        <w:ind w:left="780" w:leftChars="200" w:hanging="360" w:hangingChars="200"/>
        <w:textAlignment w:val="auto"/>
        <w:rPr>
          <w:rFonts w:hint="eastAsia"/>
          <w:lang w:val="en-US" w:eastAsia="zh-CN"/>
        </w:rPr>
      </w:pPr>
      <w:r>
        <w:rPr>
          <w:rFonts w:hint="eastAsia" w:ascii="黑体" w:hAnsi="黑体" w:eastAsia="黑体" w:cs="黑体"/>
          <w:lang w:val="en-US" w:eastAsia="zh-CN"/>
        </w:rPr>
        <w:t>注1：</w:t>
      </w:r>
      <w:r>
        <w:rPr>
          <w:rFonts w:hint="eastAsia"/>
          <w:lang w:val="en-US" w:eastAsia="zh-CN"/>
        </w:rPr>
        <w:t>上线列车数不包括未进入正线及辅助线的备用车数。</w:t>
      </w:r>
    </w:p>
    <w:p>
      <w:pPr>
        <w:pStyle w:val="181"/>
        <w:keepNext w:val="0"/>
        <w:keepLines w:val="0"/>
        <w:pageBreakBefore w:val="0"/>
        <w:widowControl w:val="0"/>
        <w:numPr>
          <w:ilvl w:val="0"/>
          <w:numId w:val="0"/>
        </w:numPr>
        <w:kinsoku/>
        <w:wordWrap/>
        <w:overflowPunct/>
        <w:topLinePunct w:val="0"/>
        <w:autoSpaceDE w:val="0"/>
        <w:autoSpaceDN w:val="0"/>
        <w:bidi w:val="0"/>
        <w:adjustRightInd/>
        <w:snapToGrid/>
        <w:ind w:left="780" w:leftChars="200" w:hanging="360" w:hangingChars="200"/>
        <w:textAlignment w:val="auto"/>
        <w:rPr>
          <w:rFonts w:hint="eastAsia"/>
          <w:lang w:val="en-US" w:eastAsia="zh-CN"/>
        </w:rPr>
      </w:pPr>
      <w:r>
        <w:rPr>
          <w:rFonts w:hint="eastAsia" w:ascii="黑体" w:hAnsi="黑体" w:eastAsia="黑体" w:cs="黑体"/>
          <w:lang w:val="en-US" w:eastAsia="zh-CN"/>
        </w:rPr>
        <w:t>注2：</w:t>
      </w:r>
      <w:r>
        <w:rPr>
          <w:rFonts w:hint="eastAsia"/>
          <w:lang w:val="en-US" w:eastAsia="zh-CN"/>
        </w:rPr>
        <w:t>正常工作日不包括公共节假日、大型集会活动日等特殊日。</w:t>
      </w:r>
    </w:p>
    <w:p>
      <w:pPr>
        <w:pStyle w:val="80"/>
        <w:spacing w:before="120" w:after="120"/>
        <w:rPr>
          <w:rFonts w:hint="eastAsia"/>
        </w:rPr>
      </w:pPr>
      <w:bookmarkStart w:id="288" w:name="_Toc5923"/>
      <w:bookmarkStart w:id="289" w:name="_Toc20562"/>
      <w:r>
        <w:rPr>
          <w:rFonts w:hint="eastAsia"/>
        </w:rPr>
        <w:t>列车上线率</w:t>
      </w:r>
      <w:bookmarkEnd w:id="288"/>
      <w:bookmarkEnd w:id="289"/>
    </w:p>
    <w:p>
      <w:pPr>
        <w:pStyle w:val="233"/>
        <w:keepNext w:val="0"/>
        <w:keepLines w:val="0"/>
        <w:pageBreakBefore w:val="0"/>
        <w:widowControl/>
        <w:kinsoku/>
        <w:wordWrap/>
        <w:overflowPunct/>
        <w:topLinePunct w:val="0"/>
        <w:autoSpaceDE w:val="0"/>
        <w:autoSpaceDN w:val="0"/>
        <w:bidi w:val="0"/>
        <w:adjustRightInd/>
        <w:snapToGrid/>
        <w:textAlignment w:val="auto"/>
        <w:rPr>
          <w:szCs w:val="21"/>
        </w:rPr>
      </w:pPr>
      <w:r>
        <w:rPr>
          <w:rFonts w:hint="eastAsia"/>
          <w:szCs w:val="21"/>
        </w:rPr>
        <w:t>定义：统计期内，线路配属列车数中上线列车数所占的比例。</w:t>
      </w:r>
    </w:p>
    <w:p>
      <w:pPr>
        <w:pStyle w:val="233"/>
        <w:keepNext w:val="0"/>
        <w:keepLines w:val="0"/>
        <w:pageBreakBefore w:val="0"/>
        <w:widowControl/>
        <w:kinsoku/>
        <w:wordWrap/>
        <w:overflowPunct/>
        <w:topLinePunct w:val="0"/>
        <w:autoSpaceDE w:val="0"/>
        <w:autoSpaceDN w:val="0"/>
        <w:bidi w:val="0"/>
        <w:adjustRightInd/>
        <w:snapToGrid/>
        <w:textAlignment w:val="auto"/>
        <w:rPr>
          <w:szCs w:val="21"/>
        </w:rPr>
      </w:pPr>
      <w:r>
        <w:rPr>
          <w:rFonts w:hint="eastAsia"/>
          <w:szCs w:val="21"/>
        </w:rPr>
        <w:t>单位：%。</w:t>
      </w:r>
    </w:p>
    <w:p>
      <w:pPr>
        <w:pStyle w:val="233"/>
        <w:keepNext w:val="0"/>
        <w:keepLines w:val="0"/>
        <w:pageBreakBefore w:val="0"/>
        <w:widowControl/>
        <w:kinsoku/>
        <w:wordWrap/>
        <w:overflowPunct/>
        <w:topLinePunct w:val="0"/>
        <w:autoSpaceDE w:val="0"/>
        <w:autoSpaceDN w:val="0"/>
        <w:bidi w:val="0"/>
        <w:adjustRightInd/>
        <w:snapToGrid/>
        <w:textAlignment w:val="auto"/>
        <w:rPr>
          <w:szCs w:val="21"/>
        </w:rPr>
      </w:pPr>
      <w:r>
        <w:rPr>
          <w:rFonts w:hint="eastAsia"/>
          <w:szCs w:val="21"/>
        </w:rPr>
        <w:t>计算方法：见式A.4。</w:t>
      </w:r>
    </w:p>
    <w:p>
      <w:pPr>
        <w:pStyle w:val="233"/>
        <w:keepNext w:val="0"/>
        <w:keepLines w:val="0"/>
        <w:pageBreakBefore w:val="0"/>
        <w:widowControl/>
        <w:kinsoku/>
        <w:wordWrap/>
        <w:overflowPunct/>
        <w:topLinePunct w:val="0"/>
        <w:autoSpaceDE w:val="0"/>
        <w:autoSpaceDN w:val="0"/>
        <w:bidi w:val="0"/>
        <w:adjustRightInd/>
        <w:snapToGrid/>
        <w:jc w:val="right"/>
        <w:textAlignment w:val="auto"/>
        <w:rPr>
          <w:rFonts w:hint="eastAsia" w:hAnsi="Cambria Math"/>
          <w:szCs w:val="21"/>
        </w:rPr>
      </w:pPr>
      <m:oMath>
        <m:sSub>
          <m:sSubPr>
            <m:ctrlPr>
              <w:rPr>
                <w:rFonts w:ascii="Cambria Math" w:hAnsi="Cambria Math"/>
                <w:i/>
                <w:szCs w:val="21"/>
              </w:rPr>
            </m:ctrlPr>
          </m:sSubPr>
          <m:e>
            <m:r>
              <w:rPr>
                <w:rFonts w:ascii="Cambria Math" w:hAnsi="Cambria Math"/>
                <w:szCs w:val="21"/>
              </w:rPr>
              <m:t>R</m:t>
            </m:r>
            <m:ctrlPr>
              <w:rPr>
                <w:rFonts w:ascii="Cambria Math" w:hAnsi="Cambria Math"/>
                <w:i/>
                <w:szCs w:val="21"/>
              </w:rPr>
            </m:ctrlPr>
          </m:e>
          <m:sub>
            <m:r>
              <w:rPr>
                <w:rFonts w:ascii="Cambria Math" w:hAnsi="Cambria Math"/>
                <w:szCs w:val="21"/>
              </w:rPr>
              <m:t>1l</m:t>
            </m:r>
            <m:ctrlPr>
              <w:rPr>
                <w:rFonts w:ascii="Cambria Math" w:hAnsi="Cambria Math"/>
                <w:i/>
                <w:szCs w:val="21"/>
              </w:rPr>
            </m:ctrlPr>
          </m:sub>
        </m:sSub>
        <m:r>
          <w:rPr>
            <w:rFonts w:ascii="Cambria Math" w:hAnsi="Cambria Math"/>
            <w:szCs w:val="21"/>
          </w:rPr>
          <m:t>=</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2l</m:t>
                </m:r>
                <m:ctrlPr>
                  <w:rPr>
                    <w:rFonts w:ascii="Cambria Math" w:hAnsi="Cambria Math"/>
                    <w:i/>
                    <w:szCs w:val="21"/>
                  </w:rPr>
                </m:ctrlPr>
              </m:sub>
            </m:sSub>
            <m:ctrlPr>
              <w:rPr>
                <w:rFonts w:ascii="Cambria Math" w:hAnsi="Cambria Math"/>
                <w:i/>
                <w:szCs w:val="21"/>
              </w:rPr>
            </m:ctrlPr>
          </m:num>
          <m:den>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1l</m:t>
                </m:r>
                <m:ctrlPr>
                  <w:rPr>
                    <w:rFonts w:ascii="Cambria Math" w:hAnsi="Cambria Math"/>
                    <w:i/>
                    <w:szCs w:val="21"/>
                  </w:rPr>
                </m:ctrlPr>
              </m:sub>
            </m:sSub>
            <m:ctrlPr>
              <w:rPr>
                <w:rFonts w:ascii="Cambria Math" w:hAnsi="Cambria Math"/>
                <w:i/>
                <w:szCs w:val="21"/>
              </w:rPr>
            </m:ctrlPr>
          </m:den>
        </m:f>
        <m:r>
          <w:rPr>
            <w:rFonts w:ascii="Cambria Math" w:hAnsi="Cambria Math"/>
            <w:szCs w:val="21"/>
          </w:rPr>
          <m:t>×100%</m:t>
        </m:r>
      </m:oMath>
      <w:r>
        <w:rPr>
          <w:rStyle w:val="244"/>
        </w:rPr>
        <w:t>…………………………………………</w:t>
      </w:r>
      <w:r>
        <w:rPr>
          <w:rFonts w:hint="eastAsia" w:hAnsi="Cambria Math"/>
          <w:szCs w:val="21"/>
        </w:rPr>
        <w:t>（A.4）</w:t>
      </w:r>
    </w:p>
    <w:p>
      <w:pPr>
        <w:pStyle w:val="233"/>
        <w:keepNext w:val="0"/>
        <w:keepLines w:val="0"/>
        <w:pageBreakBefore w:val="0"/>
        <w:widowControl/>
        <w:kinsoku/>
        <w:wordWrap/>
        <w:overflowPunct/>
        <w:topLinePunct w:val="0"/>
        <w:autoSpaceDE w:val="0"/>
        <w:autoSpaceDN w:val="0"/>
        <w:bidi w:val="0"/>
        <w:adjustRightInd/>
        <w:snapToGrid/>
        <w:textAlignment w:val="auto"/>
        <w:rPr>
          <w:szCs w:val="21"/>
        </w:rPr>
      </w:pPr>
      <w:r>
        <w:rPr>
          <w:rFonts w:hint="eastAsia"/>
          <w:szCs w:val="21"/>
        </w:rPr>
        <w:t>式中：</w:t>
      </w:r>
    </w:p>
    <w:p>
      <w:pPr>
        <w:pStyle w:val="233"/>
        <w:keepNext w:val="0"/>
        <w:keepLines w:val="0"/>
        <w:pageBreakBefore w:val="0"/>
        <w:widowControl/>
        <w:kinsoku/>
        <w:wordWrap/>
        <w:overflowPunct/>
        <w:topLinePunct w:val="0"/>
        <w:autoSpaceDE w:val="0"/>
        <w:autoSpaceDN w:val="0"/>
        <w:bidi w:val="0"/>
        <w:adjustRightInd/>
        <w:snapToGrid/>
        <w:textAlignment w:val="auto"/>
        <w:rPr>
          <w:rFonts w:hint="eastAsia" w:hAnsi="Cambria Math"/>
          <w:szCs w:val="21"/>
        </w:rPr>
      </w:pPr>
      <m:oMath>
        <m:sSub>
          <m:sSubPr>
            <m:ctrlPr>
              <w:rPr>
                <w:rFonts w:ascii="Cambria Math" w:hAnsi="Cambria Math"/>
                <w:i/>
                <w:szCs w:val="21"/>
              </w:rPr>
            </m:ctrlPr>
          </m:sSubPr>
          <m:e>
            <m:r>
              <w:rPr>
                <w:rFonts w:ascii="Cambria Math" w:hAnsi="Cambria Math"/>
                <w:szCs w:val="21"/>
              </w:rPr>
              <m:t>R</m:t>
            </m:r>
            <m:ctrlPr>
              <w:rPr>
                <w:rFonts w:ascii="Cambria Math" w:hAnsi="Cambria Math"/>
                <w:i/>
                <w:szCs w:val="21"/>
              </w:rPr>
            </m:ctrlPr>
          </m:e>
          <m:sub>
            <m:r>
              <w:rPr>
                <w:rFonts w:ascii="Cambria Math" w:hAnsi="Cambria Math"/>
                <w:szCs w:val="21"/>
              </w:rPr>
              <m:t>1l</m:t>
            </m:r>
            <m:ctrlPr>
              <w:rPr>
                <w:rFonts w:ascii="Cambria Math" w:hAnsi="Cambria Math"/>
                <w:i/>
                <w:szCs w:val="21"/>
              </w:rPr>
            </m:ctrlPr>
          </m:sub>
        </m:sSub>
      </m:oMath>
      <w:r>
        <w:rPr>
          <w:rFonts w:hint="eastAsia" w:hAnsi="Cambria Math"/>
          <w:szCs w:val="21"/>
        </w:rPr>
        <w:t xml:space="preserve"> ——线路列车上线率。</w:t>
      </w:r>
    </w:p>
    <w:p>
      <w:pPr>
        <w:pStyle w:val="80"/>
        <w:spacing w:before="120" w:after="120"/>
        <w:rPr>
          <w:rFonts w:hint="eastAsia"/>
        </w:rPr>
      </w:pPr>
      <w:bookmarkStart w:id="290" w:name="_Toc32047"/>
      <w:bookmarkStart w:id="291" w:name="_Toc13961"/>
      <w:r>
        <w:rPr>
          <w:rFonts w:hint="eastAsia"/>
        </w:rPr>
        <w:t>每公里配车数</w:t>
      </w:r>
      <w:bookmarkEnd w:id="290"/>
      <w:bookmarkEnd w:id="291"/>
    </w:p>
    <w:p>
      <w:pPr>
        <w:pStyle w:val="233"/>
        <w:rPr>
          <w:szCs w:val="21"/>
        </w:rPr>
      </w:pPr>
      <w:r>
        <w:rPr>
          <w:rFonts w:hint="eastAsia"/>
          <w:szCs w:val="21"/>
        </w:rPr>
        <w:t>定义：统计期内，运营线路中单位运营里程所拥有的配属列车数。</w:t>
      </w:r>
    </w:p>
    <w:p>
      <w:pPr>
        <w:pStyle w:val="233"/>
        <w:rPr>
          <w:szCs w:val="21"/>
        </w:rPr>
      </w:pPr>
      <w:r>
        <w:rPr>
          <w:rFonts w:hint="eastAsia"/>
          <w:szCs w:val="21"/>
        </w:rPr>
        <w:t>单位：列每公里。</w:t>
      </w:r>
    </w:p>
    <w:p>
      <w:pPr>
        <w:pStyle w:val="233"/>
        <w:rPr>
          <w:szCs w:val="21"/>
        </w:rPr>
      </w:pPr>
      <w:r>
        <w:rPr>
          <w:rFonts w:hint="eastAsia"/>
          <w:szCs w:val="21"/>
        </w:rPr>
        <w:t>计算方法：见式A.5。</w:t>
      </w:r>
    </w:p>
    <w:p>
      <w:pPr>
        <w:pStyle w:val="233"/>
        <w:jc w:val="right"/>
        <w:rPr>
          <w:rFonts w:hint="eastAsia" w:hAnsi="Cambria Math"/>
          <w:szCs w:val="21"/>
        </w:rPr>
      </w:pPr>
      <m:oMath>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3l</m:t>
            </m:r>
            <m:ctrlPr>
              <w:rPr>
                <w:rFonts w:ascii="Cambria Math" w:hAnsi="Cambria Math"/>
                <w:i/>
                <w:szCs w:val="21"/>
              </w:rPr>
            </m:ctrlPr>
          </m:sub>
        </m:sSub>
        <m:r>
          <w:rPr>
            <w:rFonts w:ascii="Cambria Math" w:hAnsi="Cambria Math"/>
            <w:szCs w:val="21"/>
          </w:rPr>
          <m:t>=</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pl</m:t>
                </m:r>
                <m:ctrlPr>
                  <w:rPr>
                    <w:rFonts w:ascii="Cambria Math" w:hAnsi="Cambria Math"/>
                    <w:i/>
                    <w:szCs w:val="21"/>
                  </w:rPr>
                </m:ctrlPr>
              </m:sub>
            </m:sSub>
            <m:ctrlPr>
              <w:rPr>
                <w:rFonts w:ascii="Cambria Math" w:hAnsi="Cambria Math"/>
                <w:i/>
                <w:szCs w:val="21"/>
              </w:rPr>
            </m:ctrlPr>
          </m:num>
          <m:den>
            <m:sSub>
              <m:sSubPr>
                <m:ctrlPr>
                  <w:rPr>
                    <w:rFonts w:ascii="Cambria Math" w:hAnsi="Cambria Math"/>
                    <w:i/>
                    <w:szCs w:val="21"/>
                  </w:rPr>
                </m:ctrlPr>
              </m:sSubPr>
              <m:e>
                <m:r>
                  <w:rPr>
                    <w:rFonts w:ascii="Cambria Math" w:hAnsi="Cambria Math"/>
                    <w:szCs w:val="21"/>
                  </w:rPr>
                  <m:t>S</m:t>
                </m:r>
                <m:ctrlPr>
                  <w:rPr>
                    <w:rFonts w:ascii="Cambria Math" w:hAnsi="Cambria Math"/>
                    <w:i/>
                    <w:szCs w:val="21"/>
                  </w:rPr>
                </m:ctrlPr>
              </m:e>
              <m:sub>
                <m:r>
                  <w:rPr>
                    <w:rFonts w:ascii="Cambria Math" w:hAnsi="Cambria Math"/>
                    <w:szCs w:val="21"/>
                  </w:rPr>
                  <m:t>l</m:t>
                </m:r>
                <m:ctrlPr>
                  <w:rPr>
                    <w:rFonts w:ascii="Cambria Math" w:hAnsi="Cambria Math"/>
                    <w:i/>
                    <w:szCs w:val="21"/>
                  </w:rPr>
                </m:ctrlPr>
              </m:sub>
            </m:sSub>
            <m:ctrlPr>
              <w:rPr>
                <w:rFonts w:ascii="Cambria Math" w:hAnsi="Cambria Math"/>
                <w:i/>
                <w:szCs w:val="21"/>
              </w:rPr>
            </m:ctrlPr>
          </m:den>
        </m:f>
      </m:oMath>
      <w:r>
        <w:rPr>
          <w:rStyle w:val="244"/>
        </w:rPr>
        <w:t>…………………………………………</w:t>
      </w:r>
      <w:r>
        <w:rPr>
          <w:rFonts w:hint="eastAsia" w:hAnsi="Cambria Math"/>
          <w:szCs w:val="21"/>
        </w:rPr>
        <w:t>（A.5）</w:t>
      </w:r>
    </w:p>
    <w:p>
      <w:pPr>
        <w:pStyle w:val="233"/>
        <w:rPr>
          <w:szCs w:val="21"/>
        </w:rPr>
      </w:pPr>
      <w:r>
        <w:rPr>
          <w:rFonts w:hint="eastAsia"/>
          <w:szCs w:val="21"/>
        </w:rPr>
        <w:t>式中：</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3l</m:t>
            </m:r>
            <m:ctrlPr>
              <w:rPr>
                <w:rFonts w:ascii="Cambria Math" w:hAnsi="Cambria Math"/>
                <w:i/>
                <w:szCs w:val="21"/>
              </w:rPr>
            </m:ctrlPr>
          </m:sub>
        </m:sSub>
      </m:oMath>
      <w:r>
        <w:rPr>
          <w:rFonts w:hint="eastAsia" w:hAnsi="Cambria Math"/>
          <w:szCs w:val="21"/>
        </w:rPr>
        <w:t xml:space="preserve"> ——线路每公里配车数。</w:t>
      </w:r>
    </w:p>
    <w:p>
      <w:pPr>
        <w:pStyle w:val="80"/>
        <w:spacing w:before="120" w:after="120"/>
        <w:rPr>
          <w:rFonts w:hint="eastAsia"/>
        </w:rPr>
      </w:pPr>
      <w:bookmarkStart w:id="292" w:name="_Toc12233"/>
      <w:bookmarkStart w:id="293" w:name="_Toc7115"/>
      <w:r>
        <w:rPr>
          <w:rFonts w:hint="eastAsia"/>
        </w:rPr>
        <w:t>运营车公里</w:t>
      </w:r>
      <w:bookmarkEnd w:id="292"/>
      <w:bookmarkEnd w:id="293"/>
    </w:p>
    <w:p>
      <w:pPr>
        <w:pStyle w:val="233"/>
        <w:rPr>
          <w:szCs w:val="21"/>
        </w:rPr>
      </w:pPr>
      <w:r>
        <w:rPr>
          <w:rFonts w:hint="eastAsia"/>
          <w:szCs w:val="21"/>
        </w:rPr>
        <w:t>定义：统计期内，列车为运营业务在运营线路上载客行驶和空车行驶的全部里程。</w:t>
      </w:r>
    </w:p>
    <w:p>
      <w:pPr>
        <w:pStyle w:val="233"/>
        <w:rPr>
          <w:szCs w:val="21"/>
        </w:rPr>
      </w:pPr>
      <w:r>
        <w:rPr>
          <w:rFonts w:hint="eastAsia"/>
          <w:szCs w:val="21"/>
        </w:rPr>
        <w:t>单位：车公里。</w:t>
      </w:r>
    </w:p>
    <w:p>
      <w:pPr>
        <w:pStyle w:val="233"/>
        <w:rPr>
          <w:szCs w:val="21"/>
        </w:rPr>
      </w:pPr>
      <w:r>
        <w:rPr>
          <w:rFonts w:hint="eastAsia"/>
          <w:szCs w:val="21"/>
        </w:rPr>
        <w:t>计算方法：见式A.6。</w:t>
      </w:r>
    </w:p>
    <w:p>
      <w:pPr>
        <w:pStyle w:val="233"/>
        <w:jc w:val="right"/>
        <w:rPr>
          <w:szCs w:val="21"/>
        </w:rPr>
      </w:pPr>
      <m:oMath>
        <m:sSub>
          <m:sSubPr>
            <m:ctrlPr>
              <w:rPr>
                <w:rFonts w:ascii="Cambria Math" w:hAnsi="Cambria Math"/>
                <w:i/>
                <w:szCs w:val="21"/>
              </w:rPr>
            </m:ctrlPr>
          </m:sSubPr>
          <m:e>
            <m:r>
              <w:rPr>
                <w:rFonts w:ascii="Cambria Math" w:hAnsi="Cambria Math"/>
                <w:szCs w:val="21"/>
              </w:rPr>
              <m:t>S</m:t>
            </m:r>
            <m:ctrlPr>
              <w:rPr>
                <w:rFonts w:ascii="Cambria Math" w:hAnsi="Cambria Math"/>
                <w:i/>
                <w:szCs w:val="21"/>
              </w:rPr>
            </m:ctrlPr>
          </m:e>
          <m:sub>
            <m:r>
              <w:rPr>
                <w:rFonts w:ascii="Cambria Math" w:hAnsi="Cambria Math"/>
                <w:szCs w:val="21"/>
              </w:rPr>
              <m:t>1l</m:t>
            </m:r>
            <m:ctrlPr>
              <w:rPr>
                <w:rFonts w:ascii="Cambria Math" w:hAnsi="Cambria Math"/>
                <w:i/>
                <w:szCs w:val="21"/>
              </w:rPr>
            </m:ctrlP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S</m:t>
            </m:r>
            <m:ctrlPr>
              <w:rPr>
                <w:rFonts w:ascii="Cambria Math" w:hAnsi="Cambria Math"/>
                <w:i/>
                <w:szCs w:val="21"/>
              </w:rPr>
            </m:ctrlPr>
          </m:e>
          <m:sub>
            <m:r>
              <w:rPr>
                <w:rFonts w:ascii="Cambria Math" w:hAnsi="Cambria Math"/>
                <w:szCs w:val="21"/>
              </w:rPr>
              <m:t>z</m:t>
            </m:r>
            <m:ctrlPr>
              <w:rPr>
                <w:rFonts w:ascii="Cambria Math" w:hAnsi="Cambria Math"/>
                <w:i/>
                <w:szCs w:val="21"/>
              </w:rPr>
            </m:ctrlP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S</m:t>
            </m:r>
            <m:ctrlPr>
              <w:rPr>
                <w:rFonts w:ascii="Cambria Math" w:hAnsi="Cambria Math"/>
                <w:i/>
                <w:szCs w:val="21"/>
              </w:rPr>
            </m:ctrlPr>
          </m:e>
          <m:sub>
            <m:r>
              <w:rPr>
                <w:rFonts w:ascii="Cambria Math" w:hAnsi="Cambria Math"/>
                <w:szCs w:val="21"/>
              </w:rPr>
              <m:t>k</m:t>
            </m:r>
            <m:ctrlPr>
              <w:rPr>
                <w:rFonts w:ascii="Cambria Math" w:hAnsi="Cambria Math"/>
                <w:i/>
                <w:szCs w:val="21"/>
              </w:rPr>
            </m:ctrlPr>
          </m:sub>
        </m:sSub>
      </m:oMath>
      <w:r>
        <w:rPr>
          <w:rStyle w:val="244"/>
        </w:rPr>
        <w:t>……………………………………</w:t>
      </w:r>
      <w:r>
        <w:rPr>
          <w:rFonts w:hint="eastAsia" w:hAnsi="Cambria Math"/>
          <w:szCs w:val="21"/>
        </w:rPr>
        <w:t>（A.6）</w:t>
      </w:r>
    </w:p>
    <w:p>
      <w:pPr>
        <w:pStyle w:val="233"/>
        <w:rPr>
          <w:szCs w:val="21"/>
        </w:rPr>
      </w:pPr>
      <w:r>
        <w:rPr>
          <w:rFonts w:hint="eastAsia"/>
          <w:szCs w:val="21"/>
        </w:rPr>
        <w:t>式中：</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S</m:t>
            </m:r>
            <m:ctrlPr>
              <w:rPr>
                <w:rFonts w:ascii="Cambria Math" w:hAnsi="Cambria Math"/>
                <w:i/>
                <w:szCs w:val="21"/>
              </w:rPr>
            </m:ctrlPr>
          </m:e>
          <m:sub>
            <m:r>
              <w:rPr>
                <w:rFonts w:ascii="Cambria Math" w:hAnsi="Cambria Math"/>
                <w:szCs w:val="21"/>
              </w:rPr>
              <m:t>1l</m:t>
            </m:r>
            <m:ctrlPr>
              <w:rPr>
                <w:rFonts w:ascii="Cambria Math" w:hAnsi="Cambria Math"/>
                <w:i/>
                <w:szCs w:val="21"/>
              </w:rPr>
            </m:ctrlPr>
          </m:sub>
        </m:sSub>
      </m:oMath>
      <w:r>
        <w:rPr>
          <w:rFonts w:hint="eastAsia" w:hAnsi="Cambria Math"/>
          <w:szCs w:val="21"/>
        </w:rPr>
        <w:t xml:space="preserve"> ——线路运营车公里；</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S</m:t>
            </m:r>
            <m:ctrlPr>
              <w:rPr>
                <w:rFonts w:ascii="Cambria Math" w:hAnsi="Cambria Math"/>
                <w:i/>
                <w:szCs w:val="21"/>
              </w:rPr>
            </m:ctrlPr>
          </m:e>
          <m:sub>
            <m:r>
              <w:rPr>
                <w:rFonts w:ascii="Cambria Math" w:hAnsi="Cambria Math"/>
                <w:szCs w:val="21"/>
              </w:rPr>
              <m:t>Z</m:t>
            </m:r>
            <m:ctrlPr>
              <w:rPr>
                <w:rFonts w:ascii="Cambria Math" w:hAnsi="Cambria Math"/>
                <w:i/>
                <w:szCs w:val="21"/>
              </w:rPr>
            </m:ctrlPr>
          </m:sub>
        </m:sSub>
      </m:oMath>
      <w:r>
        <w:rPr>
          <w:rFonts w:hint="eastAsia" w:hAnsi="Cambria Math"/>
          <w:szCs w:val="21"/>
        </w:rPr>
        <w:t xml:space="preserve"> ——线路载客车公里，单位为车公里；</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S</m:t>
            </m:r>
            <m:ctrlPr>
              <w:rPr>
                <w:rFonts w:ascii="Cambria Math" w:hAnsi="Cambria Math"/>
                <w:i/>
                <w:szCs w:val="21"/>
              </w:rPr>
            </m:ctrlPr>
          </m:e>
          <m:sub>
            <m:r>
              <w:rPr>
                <w:rFonts w:ascii="Cambria Math" w:hAnsi="Cambria Math"/>
                <w:szCs w:val="21"/>
              </w:rPr>
              <m:t>k</m:t>
            </m:r>
            <m:ctrlPr>
              <w:rPr>
                <w:rFonts w:ascii="Cambria Math" w:hAnsi="Cambria Math"/>
                <w:i/>
                <w:szCs w:val="21"/>
              </w:rPr>
            </m:ctrlPr>
          </m:sub>
        </m:sSub>
      </m:oMath>
      <w:r>
        <w:rPr>
          <w:rFonts w:hint="eastAsia" w:hAnsi="Cambria Math"/>
          <w:szCs w:val="21"/>
        </w:rPr>
        <w:t xml:space="preserve"> ——线路空驶车公里，单位为车公里。</w:t>
      </w:r>
    </w:p>
    <w:p>
      <w:pPr>
        <w:pStyle w:val="181"/>
        <w:keepNext w:val="0"/>
        <w:keepLines w:val="0"/>
        <w:pageBreakBefore w:val="0"/>
        <w:widowControl w:val="0"/>
        <w:numPr>
          <w:ilvl w:val="0"/>
          <w:numId w:val="0"/>
        </w:numPr>
        <w:kinsoku/>
        <w:wordWrap/>
        <w:overflowPunct/>
        <w:topLinePunct w:val="0"/>
        <w:autoSpaceDE w:val="0"/>
        <w:autoSpaceDN w:val="0"/>
        <w:bidi w:val="0"/>
        <w:adjustRightInd/>
        <w:snapToGrid/>
        <w:ind w:left="780" w:leftChars="200" w:hanging="360" w:hangingChars="200"/>
        <w:textAlignment w:val="auto"/>
        <w:rPr>
          <w:rFonts w:hint="eastAsia"/>
          <w:lang w:val="en-US" w:eastAsia="zh-CN"/>
        </w:rPr>
      </w:pPr>
      <w:r>
        <w:rPr>
          <w:rFonts w:hint="eastAsia" w:ascii="黑体" w:hAnsi="黑体" w:eastAsia="黑体" w:cs="黑体"/>
          <w:lang w:val="en-US" w:eastAsia="zh-CN"/>
        </w:rPr>
        <w:t>注1：</w:t>
      </w:r>
      <w:r>
        <w:rPr>
          <w:rFonts w:hint="eastAsia"/>
          <w:lang w:val="en-US" w:eastAsia="zh-CN"/>
        </w:rPr>
        <w:t>载客车公里为载客列车始发站至终到站之间的行驶里程。</w:t>
      </w:r>
    </w:p>
    <w:p>
      <w:pPr>
        <w:pStyle w:val="181"/>
        <w:keepNext w:val="0"/>
        <w:keepLines w:val="0"/>
        <w:pageBreakBefore w:val="0"/>
        <w:widowControl w:val="0"/>
        <w:numPr>
          <w:ilvl w:val="0"/>
          <w:numId w:val="0"/>
        </w:numPr>
        <w:kinsoku/>
        <w:wordWrap/>
        <w:overflowPunct/>
        <w:topLinePunct w:val="0"/>
        <w:autoSpaceDE w:val="0"/>
        <w:autoSpaceDN w:val="0"/>
        <w:bidi w:val="0"/>
        <w:adjustRightInd/>
        <w:snapToGrid/>
        <w:ind w:left="870" w:leftChars="200" w:hanging="450" w:hangingChars="250"/>
        <w:textAlignment w:val="auto"/>
        <w:rPr>
          <w:rFonts w:hint="eastAsia"/>
          <w:lang w:val="en-US" w:eastAsia="zh-CN"/>
        </w:rPr>
      </w:pPr>
      <w:r>
        <w:rPr>
          <w:rFonts w:hint="eastAsia" w:ascii="黑体" w:hAnsi="黑体" w:eastAsia="黑体" w:cs="黑体"/>
          <w:lang w:val="en-US" w:eastAsia="zh-CN"/>
        </w:rPr>
        <w:t>注</w:t>
      </w:r>
      <w:r>
        <w:rPr>
          <w:rFonts w:hint="default" w:ascii="黑体" w:hAnsi="黑体" w:eastAsia="黑体" w:cs="黑体"/>
          <w:lang w:val="en-US" w:eastAsia="zh-CN"/>
        </w:rPr>
        <w:t>2</w:t>
      </w:r>
      <w:r>
        <w:rPr>
          <w:rFonts w:hint="eastAsia" w:ascii="黑体" w:hAnsi="黑体" w:eastAsia="黑体" w:cs="黑体"/>
          <w:lang w:val="en-US" w:eastAsia="zh-CN"/>
        </w:rPr>
        <w:t>：</w:t>
      </w:r>
      <w:r>
        <w:rPr>
          <w:rFonts w:hint="eastAsia"/>
          <w:lang w:val="en-US" w:eastAsia="zh-CN"/>
        </w:rPr>
        <w:t>空驶车公里包括备用列车的行驶里程，通勤车行驶里程，从车场至运营线路出、回场里程，折返里程，中途故障和其他原因空驶到起点、终点或车场的里程及其他不可载客的空驶里程。</w:t>
      </w:r>
    </w:p>
    <w:p>
      <w:pPr>
        <w:pStyle w:val="181"/>
        <w:keepNext w:val="0"/>
        <w:keepLines w:val="0"/>
        <w:pageBreakBefore w:val="0"/>
        <w:widowControl w:val="0"/>
        <w:numPr>
          <w:ilvl w:val="0"/>
          <w:numId w:val="0"/>
        </w:numPr>
        <w:kinsoku/>
        <w:wordWrap/>
        <w:overflowPunct/>
        <w:topLinePunct w:val="0"/>
        <w:autoSpaceDE w:val="0"/>
        <w:autoSpaceDN w:val="0"/>
        <w:bidi w:val="0"/>
        <w:adjustRightInd/>
        <w:snapToGrid/>
        <w:ind w:left="780" w:leftChars="200" w:hanging="360" w:hangingChars="200"/>
        <w:textAlignment w:val="auto"/>
        <w:rPr>
          <w:rFonts w:hint="eastAsia"/>
          <w:lang w:val="en-US" w:eastAsia="zh-CN"/>
        </w:rPr>
      </w:pPr>
      <w:r>
        <w:rPr>
          <w:rFonts w:hint="eastAsia" w:ascii="黑体" w:hAnsi="黑体" w:eastAsia="黑体" w:cs="黑体"/>
          <w:lang w:val="en-US" w:eastAsia="zh-CN"/>
        </w:rPr>
        <w:t>注</w:t>
      </w:r>
      <w:r>
        <w:rPr>
          <w:rFonts w:hint="default" w:ascii="黑体" w:hAnsi="黑体" w:eastAsia="黑体" w:cs="黑体"/>
          <w:lang w:val="en-US" w:eastAsia="zh-CN"/>
        </w:rPr>
        <w:t>3</w:t>
      </w:r>
      <w:r>
        <w:rPr>
          <w:rFonts w:hint="eastAsia" w:ascii="黑体" w:hAnsi="黑体" w:eastAsia="黑体" w:cs="黑体"/>
          <w:lang w:val="en-US" w:eastAsia="zh-CN"/>
        </w:rPr>
        <w:t>：</w:t>
      </w:r>
      <w:r>
        <w:rPr>
          <w:rFonts w:hint="eastAsia"/>
          <w:lang w:val="en-US" w:eastAsia="zh-CN"/>
        </w:rPr>
        <w:t>运营车公里也可以列统计，单位为列公里。</w:t>
      </w:r>
    </w:p>
    <w:p>
      <w:pPr>
        <w:pStyle w:val="80"/>
        <w:spacing w:before="120" w:after="120"/>
        <w:rPr>
          <w:rFonts w:hint="eastAsia"/>
        </w:rPr>
      </w:pPr>
      <w:bookmarkStart w:id="294" w:name="_Toc16273"/>
      <w:bookmarkStart w:id="295" w:name="_Toc18207"/>
      <w:r>
        <w:rPr>
          <w:rFonts w:hint="eastAsia"/>
        </w:rPr>
        <w:t>走行车公里</w:t>
      </w:r>
      <w:bookmarkEnd w:id="294"/>
      <w:bookmarkEnd w:id="295"/>
    </w:p>
    <w:p>
      <w:pPr>
        <w:pStyle w:val="233"/>
        <w:rPr>
          <w:szCs w:val="21"/>
        </w:rPr>
      </w:pPr>
      <w:r>
        <w:rPr>
          <w:rFonts w:hint="eastAsia"/>
          <w:szCs w:val="21"/>
        </w:rPr>
        <w:t>定义：统计期内，线路运营车辆所行驶的全部里程。</w:t>
      </w:r>
    </w:p>
    <w:p>
      <w:pPr>
        <w:pStyle w:val="233"/>
        <w:rPr>
          <w:rFonts w:hint="eastAsia" w:hAnsi="Cambria Math"/>
          <w:szCs w:val="21"/>
        </w:rPr>
      </w:pPr>
      <w:r>
        <w:rPr>
          <w:rFonts w:hint="eastAsia"/>
          <w:szCs w:val="21"/>
        </w:rPr>
        <w:t>单位：车公里。</w:t>
      </w:r>
    </w:p>
    <w:p>
      <w:pPr>
        <w:pStyle w:val="181"/>
        <w:keepNext w:val="0"/>
        <w:keepLines w:val="0"/>
        <w:pageBreakBefore w:val="0"/>
        <w:widowControl w:val="0"/>
        <w:numPr>
          <w:ilvl w:val="0"/>
          <w:numId w:val="0"/>
        </w:numPr>
        <w:kinsoku/>
        <w:wordWrap/>
        <w:overflowPunct/>
        <w:topLinePunct w:val="0"/>
        <w:autoSpaceDE w:val="0"/>
        <w:autoSpaceDN w:val="0"/>
        <w:bidi w:val="0"/>
        <w:adjustRightInd/>
        <w:snapToGrid/>
        <w:ind w:left="780" w:leftChars="200" w:hanging="360" w:hangingChars="200"/>
        <w:textAlignment w:val="auto"/>
        <w:rPr>
          <w:rFonts w:hint="eastAsia" w:ascii="宋体" w:hAnsi="宋体" w:eastAsia="宋体" w:cs="宋体"/>
          <w:lang w:val="en-US" w:eastAsia="zh-CN"/>
        </w:rPr>
      </w:pPr>
      <w:r>
        <w:rPr>
          <w:rFonts w:hint="eastAsia" w:ascii="黑体" w:hAnsi="黑体" w:eastAsia="黑体" w:cs="黑体"/>
          <w:lang w:val="en-US" w:eastAsia="zh-CN"/>
        </w:rPr>
        <w:t>注1：</w:t>
      </w:r>
      <w:r>
        <w:rPr>
          <w:rFonts w:hint="eastAsia" w:ascii="宋体" w:hAnsi="宋体" w:eastAsia="宋体" w:cs="宋体"/>
          <w:lang w:val="en-US" w:eastAsia="zh-CN"/>
        </w:rPr>
        <w:t>线路走行车公里包括线路运营车公里和车场内运行、正线调试、救援、清客后运行等里程。</w:t>
      </w:r>
    </w:p>
    <w:p>
      <w:pPr>
        <w:pStyle w:val="181"/>
        <w:keepNext w:val="0"/>
        <w:keepLines w:val="0"/>
        <w:pageBreakBefore w:val="0"/>
        <w:widowControl w:val="0"/>
        <w:numPr>
          <w:ilvl w:val="0"/>
          <w:numId w:val="0"/>
        </w:numPr>
        <w:kinsoku/>
        <w:wordWrap/>
        <w:overflowPunct/>
        <w:topLinePunct w:val="0"/>
        <w:autoSpaceDE w:val="0"/>
        <w:autoSpaceDN w:val="0"/>
        <w:bidi w:val="0"/>
        <w:adjustRightInd/>
        <w:snapToGrid/>
        <w:ind w:left="780" w:leftChars="200" w:hanging="360" w:hangingChars="200"/>
        <w:textAlignment w:val="auto"/>
        <w:rPr>
          <w:rFonts w:hint="eastAsia" w:ascii="宋体" w:hAnsi="宋体" w:eastAsia="宋体" w:cs="宋体"/>
          <w:lang w:val="en-US" w:eastAsia="zh-CN"/>
        </w:rPr>
      </w:pPr>
      <w:r>
        <w:rPr>
          <w:rFonts w:hint="eastAsia" w:ascii="黑体" w:hAnsi="黑体" w:eastAsia="黑体" w:cs="黑体"/>
          <w:lang w:val="en-US" w:eastAsia="zh-CN"/>
        </w:rPr>
        <w:t>注</w:t>
      </w:r>
      <w:r>
        <w:rPr>
          <w:rFonts w:hint="default" w:ascii="黑体" w:hAnsi="黑体" w:eastAsia="黑体" w:cs="黑体"/>
          <w:lang w:val="en-US" w:eastAsia="zh-CN"/>
        </w:rPr>
        <w:t>2</w:t>
      </w:r>
      <w:r>
        <w:rPr>
          <w:rFonts w:hint="eastAsia" w:ascii="黑体" w:hAnsi="黑体" w:eastAsia="黑体" w:cs="黑体"/>
          <w:lang w:val="en-US" w:eastAsia="zh-CN"/>
        </w:rPr>
        <w:t>：</w:t>
      </w:r>
      <w:r>
        <w:rPr>
          <w:rFonts w:hint="eastAsia" w:ascii="宋体" w:hAnsi="宋体" w:eastAsia="宋体" w:cs="宋体"/>
          <w:lang w:val="en-US" w:eastAsia="zh-CN"/>
        </w:rPr>
        <w:t>救援里程包含救援与被救援列车里程。</w:t>
      </w:r>
    </w:p>
    <w:p>
      <w:pPr>
        <w:pStyle w:val="181"/>
        <w:keepNext w:val="0"/>
        <w:keepLines w:val="0"/>
        <w:pageBreakBefore w:val="0"/>
        <w:widowControl w:val="0"/>
        <w:numPr>
          <w:ilvl w:val="0"/>
          <w:numId w:val="0"/>
        </w:numPr>
        <w:kinsoku/>
        <w:wordWrap/>
        <w:overflowPunct/>
        <w:topLinePunct w:val="0"/>
        <w:autoSpaceDE w:val="0"/>
        <w:autoSpaceDN w:val="0"/>
        <w:bidi w:val="0"/>
        <w:adjustRightInd/>
        <w:snapToGrid/>
        <w:ind w:left="780" w:leftChars="200" w:hanging="360" w:hangingChars="200"/>
        <w:textAlignment w:val="auto"/>
        <w:rPr>
          <w:rFonts w:hint="eastAsia" w:ascii="宋体" w:hAnsi="宋体" w:eastAsia="宋体" w:cs="宋体"/>
          <w:lang w:val="en-US" w:eastAsia="zh-CN"/>
        </w:rPr>
      </w:pPr>
      <w:r>
        <w:rPr>
          <w:rFonts w:hint="eastAsia" w:ascii="黑体" w:hAnsi="黑体" w:eastAsia="黑体" w:cs="黑体"/>
          <w:lang w:val="en-US" w:eastAsia="zh-CN"/>
        </w:rPr>
        <w:t>注</w:t>
      </w:r>
      <w:r>
        <w:rPr>
          <w:rFonts w:hint="default" w:ascii="黑体" w:hAnsi="黑体" w:eastAsia="黑体" w:cs="黑体"/>
          <w:lang w:val="en-US" w:eastAsia="zh-CN"/>
        </w:rPr>
        <w:t>3</w:t>
      </w:r>
      <w:r>
        <w:rPr>
          <w:rFonts w:hint="eastAsia" w:ascii="黑体" w:hAnsi="黑体" w:eastAsia="黑体" w:cs="黑体"/>
          <w:lang w:val="en-US" w:eastAsia="zh-CN"/>
        </w:rPr>
        <w:t>：</w:t>
      </w:r>
      <w:r>
        <w:rPr>
          <w:rFonts w:hint="eastAsia" w:ascii="宋体" w:hAnsi="宋体" w:eastAsia="宋体" w:cs="宋体"/>
          <w:lang w:val="en-US" w:eastAsia="zh-CN"/>
        </w:rPr>
        <w:t>若列车在区间清客，清客后运行公里以列车开行方向下一站开始计算里程。</w:t>
      </w:r>
    </w:p>
    <w:p>
      <w:pPr>
        <w:pStyle w:val="80"/>
        <w:spacing w:before="120" w:after="120"/>
        <w:rPr>
          <w:rFonts w:hint="eastAsia"/>
        </w:rPr>
      </w:pPr>
      <w:bookmarkStart w:id="296" w:name="_Toc7052"/>
      <w:bookmarkStart w:id="297" w:name="_Toc18402"/>
      <w:r>
        <w:rPr>
          <w:rFonts w:hint="eastAsia"/>
        </w:rPr>
        <w:t>车公里利用率</w:t>
      </w:r>
      <w:bookmarkEnd w:id="296"/>
      <w:bookmarkEnd w:id="297"/>
    </w:p>
    <w:p>
      <w:pPr>
        <w:pStyle w:val="233"/>
        <w:rPr>
          <w:szCs w:val="21"/>
        </w:rPr>
      </w:pPr>
      <w:r>
        <w:rPr>
          <w:rFonts w:hint="eastAsia"/>
          <w:szCs w:val="21"/>
        </w:rPr>
        <w:t>定义：统计期内，线路运营车公里与线路走行车公里的比值。</w:t>
      </w:r>
    </w:p>
    <w:p>
      <w:pPr>
        <w:pStyle w:val="233"/>
        <w:rPr>
          <w:szCs w:val="21"/>
        </w:rPr>
      </w:pPr>
      <w:r>
        <w:rPr>
          <w:rFonts w:hint="eastAsia"/>
          <w:szCs w:val="21"/>
        </w:rPr>
        <w:t>单位：%。</w:t>
      </w:r>
    </w:p>
    <w:p>
      <w:pPr>
        <w:pStyle w:val="233"/>
        <w:rPr>
          <w:szCs w:val="21"/>
        </w:rPr>
      </w:pPr>
      <w:r>
        <w:rPr>
          <w:rFonts w:hint="eastAsia"/>
          <w:szCs w:val="21"/>
        </w:rPr>
        <w:t>计算方法：见式A.7。</w:t>
      </w:r>
    </w:p>
    <w:p>
      <w:pPr>
        <w:pStyle w:val="233"/>
        <w:jc w:val="right"/>
        <w:rPr>
          <w:szCs w:val="21"/>
        </w:rPr>
      </w:pPr>
      <m:oMath>
        <m:sSub>
          <m:sSubPr>
            <m:ctrlPr>
              <w:rPr>
                <w:rFonts w:ascii="Cambria Math" w:hAnsi="Cambria Math"/>
                <w:i/>
                <w:szCs w:val="21"/>
              </w:rPr>
            </m:ctrlPr>
          </m:sSubPr>
          <m:e>
            <m:r>
              <w:rPr>
                <w:rFonts w:ascii="Cambria Math" w:hAnsi="Cambria Math"/>
                <w:szCs w:val="21"/>
              </w:rPr>
              <m:t>R</m:t>
            </m:r>
            <m:ctrlPr>
              <w:rPr>
                <w:rFonts w:ascii="Cambria Math" w:hAnsi="Cambria Math"/>
                <w:i/>
                <w:szCs w:val="21"/>
              </w:rPr>
            </m:ctrlPr>
          </m:e>
          <m:sub>
            <m:r>
              <w:rPr>
                <w:rFonts w:ascii="Cambria Math" w:hAnsi="Cambria Math"/>
                <w:szCs w:val="21"/>
              </w:rPr>
              <m:t>2l</m:t>
            </m:r>
            <m:ctrlPr>
              <w:rPr>
                <w:rFonts w:ascii="Cambria Math" w:hAnsi="Cambria Math"/>
                <w:i/>
                <w:szCs w:val="21"/>
              </w:rPr>
            </m:ctrlPr>
          </m:sub>
        </m:sSub>
        <m:r>
          <w:rPr>
            <w:rFonts w:ascii="Cambria Math" w:hAnsi="Cambria Math"/>
            <w:szCs w:val="21"/>
          </w:rPr>
          <m:t>=</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S</m:t>
                </m:r>
                <m:ctrlPr>
                  <w:rPr>
                    <w:rFonts w:ascii="Cambria Math" w:hAnsi="Cambria Math"/>
                    <w:i/>
                    <w:szCs w:val="21"/>
                  </w:rPr>
                </m:ctrlPr>
              </m:e>
              <m:sub>
                <m:r>
                  <w:rPr>
                    <w:rFonts w:ascii="Cambria Math" w:hAnsi="Cambria Math"/>
                    <w:szCs w:val="21"/>
                  </w:rPr>
                  <m:t>1l</m:t>
                </m:r>
                <m:ctrlPr>
                  <w:rPr>
                    <w:rFonts w:ascii="Cambria Math" w:hAnsi="Cambria Math"/>
                    <w:i/>
                    <w:szCs w:val="21"/>
                  </w:rPr>
                </m:ctrlPr>
              </m:sub>
            </m:sSub>
            <m:ctrlPr>
              <w:rPr>
                <w:rFonts w:ascii="Cambria Math" w:hAnsi="Cambria Math"/>
                <w:i/>
                <w:szCs w:val="21"/>
              </w:rPr>
            </m:ctrlPr>
          </m:num>
          <m:den>
            <m:sSub>
              <m:sSubPr>
                <m:ctrlPr>
                  <w:rPr>
                    <w:rFonts w:ascii="Cambria Math" w:hAnsi="Cambria Math"/>
                    <w:i/>
                    <w:szCs w:val="21"/>
                  </w:rPr>
                </m:ctrlPr>
              </m:sSubPr>
              <m:e>
                <m:r>
                  <w:rPr>
                    <w:rFonts w:ascii="Cambria Math" w:hAnsi="Cambria Math"/>
                    <w:szCs w:val="21"/>
                  </w:rPr>
                  <m:t>S</m:t>
                </m:r>
                <m:ctrlPr>
                  <w:rPr>
                    <w:rFonts w:ascii="Cambria Math" w:hAnsi="Cambria Math"/>
                    <w:i/>
                    <w:szCs w:val="21"/>
                  </w:rPr>
                </m:ctrlPr>
              </m:e>
              <m:sub>
                <m:r>
                  <w:rPr>
                    <w:rFonts w:ascii="Cambria Math" w:hAnsi="Cambria Math"/>
                    <w:szCs w:val="21"/>
                  </w:rPr>
                  <m:t>2l</m:t>
                </m:r>
                <m:ctrlPr>
                  <w:rPr>
                    <w:rFonts w:ascii="Cambria Math" w:hAnsi="Cambria Math"/>
                    <w:i/>
                    <w:szCs w:val="21"/>
                  </w:rPr>
                </m:ctrlPr>
              </m:sub>
            </m:sSub>
            <m:ctrlPr>
              <w:rPr>
                <w:rFonts w:ascii="Cambria Math" w:hAnsi="Cambria Math"/>
                <w:i/>
                <w:szCs w:val="21"/>
              </w:rPr>
            </m:ctrlPr>
          </m:den>
        </m:f>
        <m:r>
          <w:rPr>
            <w:rFonts w:ascii="Cambria Math" w:hAnsi="Cambria Math"/>
            <w:szCs w:val="21"/>
          </w:rPr>
          <m:t>×100%</m:t>
        </m:r>
      </m:oMath>
      <w:r>
        <w:rPr>
          <w:rStyle w:val="244"/>
        </w:rPr>
        <w:t>…………………………………</w:t>
      </w:r>
      <w:r>
        <w:rPr>
          <w:rFonts w:hint="eastAsia" w:hAnsi="Cambria Math"/>
          <w:szCs w:val="21"/>
        </w:rPr>
        <w:t>（A.7）</w:t>
      </w:r>
    </w:p>
    <w:p>
      <w:pPr>
        <w:pStyle w:val="233"/>
        <w:rPr>
          <w:szCs w:val="21"/>
        </w:rPr>
      </w:pPr>
      <w:r>
        <w:rPr>
          <w:rFonts w:hint="eastAsia"/>
          <w:szCs w:val="21"/>
        </w:rPr>
        <w:t>式中：</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R</m:t>
            </m:r>
            <m:ctrlPr>
              <w:rPr>
                <w:rFonts w:ascii="Cambria Math" w:hAnsi="Cambria Math"/>
                <w:i/>
                <w:szCs w:val="21"/>
              </w:rPr>
            </m:ctrlPr>
          </m:e>
          <m:sub>
            <m:r>
              <w:rPr>
                <w:rFonts w:ascii="Cambria Math" w:hAnsi="Cambria Math"/>
                <w:szCs w:val="21"/>
              </w:rPr>
              <m:t>2l</m:t>
            </m:r>
            <m:ctrlPr>
              <w:rPr>
                <w:rFonts w:ascii="Cambria Math" w:hAnsi="Cambria Math"/>
                <w:i/>
                <w:szCs w:val="21"/>
              </w:rPr>
            </m:ctrlPr>
          </m:sub>
        </m:sSub>
      </m:oMath>
      <w:r>
        <w:rPr>
          <w:rFonts w:hint="eastAsia" w:hAnsi="Cambria Math"/>
          <w:szCs w:val="21"/>
        </w:rPr>
        <w:t xml:space="preserve"> ——线路车公里利用率；</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S</m:t>
            </m:r>
            <m:ctrlPr>
              <w:rPr>
                <w:rFonts w:ascii="Cambria Math" w:hAnsi="Cambria Math"/>
                <w:i/>
                <w:szCs w:val="21"/>
              </w:rPr>
            </m:ctrlPr>
          </m:e>
          <m:sub>
            <m:r>
              <w:rPr>
                <w:rFonts w:ascii="Cambria Math" w:hAnsi="Cambria Math"/>
                <w:szCs w:val="21"/>
              </w:rPr>
              <m:t>2l</m:t>
            </m:r>
            <m:ctrlPr>
              <w:rPr>
                <w:rFonts w:ascii="Cambria Math" w:hAnsi="Cambria Math"/>
                <w:i/>
                <w:szCs w:val="21"/>
              </w:rPr>
            </m:ctrlPr>
          </m:sub>
        </m:sSub>
      </m:oMath>
      <w:r>
        <w:rPr>
          <w:rFonts w:hint="eastAsia" w:hAnsi="Cambria Math"/>
          <w:szCs w:val="21"/>
        </w:rPr>
        <w:t xml:space="preserve"> ——线路走行车公里。</w:t>
      </w:r>
    </w:p>
    <w:p>
      <w:pPr>
        <w:pStyle w:val="80"/>
        <w:spacing w:before="120" w:after="120"/>
        <w:rPr>
          <w:rFonts w:hint="eastAsia"/>
        </w:rPr>
      </w:pPr>
      <w:bookmarkStart w:id="298" w:name="_Toc15543"/>
      <w:bookmarkStart w:id="299" w:name="_Toc9188"/>
      <w:r>
        <w:rPr>
          <w:rFonts w:hint="eastAsia"/>
        </w:rPr>
        <w:t>列车平均编组数</w:t>
      </w:r>
      <w:bookmarkEnd w:id="298"/>
      <w:bookmarkEnd w:id="299"/>
    </w:p>
    <w:p>
      <w:pPr>
        <w:pStyle w:val="233"/>
        <w:rPr>
          <w:szCs w:val="21"/>
        </w:rPr>
      </w:pPr>
      <w:r>
        <w:rPr>
          <w:rFonts w:hint="eastAsia"/>
          <w:szCs w:val="21"/>
        </w:rPr>
        <w:t>定义：统计期内，线路配属列车中平均每列车的车辆编组数。</w:t>
      </w:r>
    </w:p>
    <w:p>
      <w:pPr>
        <w:pStyle w:val="233"/>
        <w:rPr>
          <w:szCs w:val="21"/>
        </w:rPr>
      </w:pPr>
      <w:r>
        <w:rPr>
          <w:rFonts w:hint="eastAsia"/>
          <w:szCs w:val="21"/>
        </w:rPr>
        <w:t>单位：辆。</w:t>
      </w:r>
    </w:p>
    <w:p>
      <w:pPr>
        <w:pStyle w:val="233"/>
        <w:rPr>
          <w:szCs w:val="21"/>
        </w:rPr>
      </w:pPr>
      <w:r>
        <w:rPr>
          <w:rFonts w:hint="eastAsia"/>
          <w:szCs w:val="21"/>
        </w:rPr>
        <w:t>计算方法：见式A.8。</w:t>
      </w:r>
    </w:p>
    <w:p>
      <w:pPr>
        <w:pStyle w:val="233"/>
        <w:jc w:val="right"/>
        <w:rPr>
          <w:rFonts w:hint="eastAsia" w:hAnsi="Cambria Math"/>
          <w:szCs w:val="21"/>
        </w:rPr>
      </w:pPr>
      <m:oMath>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4l</m:t>
            </m:r>
            <m:ctrlPr>
              <w:rPr>
                <w:rFonts w:ascii="Cambria Math" w:hAnsi="Cambria Math"/>
                <w:i/>
                <w:szCs w:val="21"/>
              </w:rPr>
            </m:ctrlPr>
          </m:sub>
        </m:sSub>
        <m:r>
          <w:rPr>
            <w:rFonts w:ascii="Cambria Math" w:hAnsi="Cambria Math"/>
            <w:szCs w:val="21"/>
          </w:rPr>
          <m:t>=</m:t>
        </m:r>
        <m:f>
          <m:fPr>
            <m:ctrlPr>
              <w:rPr>
                <w:rFonts w:ascii="Cambria Math" w:hAnsi="Cambria Math"/>
                <w:i/>
                <w:szCs w:val="21"/>
              </w:rPr>
            </m:ctrlPr>
          </m:fPr>
          <m:num>
            <m:sSubSup>
              <m:sSubSupPr>
                <m:ctrlPr>
                  <w:rPr>
                    <w:rFonts w:ascii="Cambria Math" w:hAnsi="Cambria Math"/>
                    <w:i/>
                    <w:szCs w:val="21"/>
                  </w:rPr>
                </m:ctrlPr>
              </m:sSubSupPr>
              <m:e>
                <m:r>
                  <w:rPr>
                    <w:rFonts w:ascii="Cambria Math" w:hAnsi="Cambria Math"/>
                    <w:szCs w:val="21"/>
                  </w:rPr>
                  <m:t>Q</m:t>
                </m:r>
                <m:ctrlPr>
                  <w:rPr>
                    <w:rFonts w:ascii="Cambria Math" w:hAnsi="Cambria Math"/>
                    <w:i/>
                    <w:szCs w:val="21"/>
                  </w:rPr>
                </m:ctrlPr>
              </m:e>
              <m:sub>
                <m:r>
                  <w:rPr>
                    <w:rFonts w:ascii="Cambria Math" w:hAnsi="Cambria Math"/>
                    <w:szCs w:val="21"/>
                  </w:rPr>
                  <m:t>pl</m:t>
                </m:r>
                <m:ctrlPr>
                  <w:rPr>
                    <w:rFonts w:ascii="Cambria Math" w:hAnsi="Cambria Math"/>
                    <w:i/>
                    <w:szCs w:val="21"/>
                  </w:rPr>
                </m:ctrlPr>
              </m:sub>
              <m:sup>
                <m:r>
                  <w:rPr>
                    <w:rFonts w:ascii="Cambria Math" w:hAnsi="Cambria Math"/>
                    <w:szCs w:val="21"/>
                  </w:rPr>
                  <m:t>'</m:t>
                </m:r>
                <m:ctrlPr>
                  <w:rPr>
                    <w:rFonts w:ascii="Cambria Math" w:hAnsi="Cambria Math"/>
                    <w:i/>
                    <w:szCs w:val="21"/>
                  </w:rPr>
                </m:ctrlPr>
              </m:sup>
            </m:sSubSup>
            <m:ctrlPr>
              <w:rPr>
                <w:rFonts w:ascii="Cambria Math" w:hAnsi="Cambria Math"/>
                <w:i/>
                <w:szCs w:val="21"/>
              </w:rPr>
            </m:ctrlPr>
          </m:num>
          <m:den>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pl</m:t>
                </m:r>
                <m:ctrlPr>
                  <w:rPr>
                    <w:rFonts w:ascii="Cambria Math" w:hAnsi="Cambria Math"/>
                    <w:i/>
                    <w:szCs w:val="21"/>
                  </w:rPr>
                </m:ctrlPr>
              </m:sub>
            </m:sSub>
            <m:ctrlPr>
              <w:rPr>
                <w:rFonts w:ascii="Cambria Math" w:hAnsi="Cambria Math"/>
                <w:i/>
                <w:szCs w:val="21"/>
              </w:rPr>
            </m:ctrlPr>
          </m:den>
        </m:f>
        <m:r>
          <w:rPr>
            <w:rFonts w:ascii="Cambria Math" w:hAnsi="Cambria Math"/>
            <w:szCs w:val="21"/>
          </w:rPr>
          <m:t>×100%</m:t>
        </m:r>
      </m:oMath>
      <w:r>
        <w:rPr>
          <w:rStyle w:val="244"/>
        </w:rPr>
        <w:t>……………………………………</w:t>
      </w:r>
      <w:r>
        <w:rPr>
          <w:rFonts w:hint="eastAsia" w:hAnsi="Cambria Math"/>
          <w:szCs w:val="21"/>
        </w:rPr>
        <w:t>（A.8）</w:t>
      </w:r>
    </w:p>
    <w:p>
      <w:pPr>
        <w:pStyle w:val="233"/>
        <w:jc w:val="right"/>
        <w:rPr>
          <w:rFonts w:hint="eastAsia" w:hAnsi="Cambria Math"/>
          <w:szCs w:val="21"/>
        </w:rPr>
      </w:pPr>
    </w:p>
    <w:p>
      <w:pPr>
        <w:pStyle w:val="233"/>
        <w:rPr>
          <w:szCs w:val="21"/>
        </w:rPr>
      </w:pPr>
      <w:r>
        <w:rPr>
          <w:rFonts w:hint="eastAsia"/>
          <w:szCs w:val="21"/>
        </w:rPr>
        <w:t>式中：</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4l</m:t>
            </m:r>
            <m:ctrlPr>
              <w:rPr>
                <w:rFonts w:ascii="Cambria Math" w:hAnsi="Cambria Math"/>
                <w:i/>
                <w:szCs w:val="21"/>
              </w:rPr>
            </m:ctrlPr>
          </m:sub>
        </m:sSub>
      </m:oMath>
      <w:r>
        <w:rPr>
          <w:rFonts w:hint="eastAsia" w:hAnsi="Cambria Math"/>
          <w:szCs w:val="21"/>
        </w:rPr>
        <w:t xml:space="preserve"> ——线路列车平均编组数；</w:t>
      </w:r>
    </w:p>
    <w:p>
      <w:pPr>
        <w:pStyle w:val="233"/>
        <w:rPr>
          <w:rFonts w:hint="eastAsia" w:hAnsi="Cambria Math"/>
          <w:szCs w:val="21"/>
        </w:rPr>
      </w:pPr>
      <m:oMath>
        <m:sSubSup>
          <m:sSubSupPr>
            <m:ctrlPr>
              <w:rPr>
                <w:rFonts w:ascii="Cambria Math" w:hAnsi="Cambria Math"/>
                <w:i/>
                <w:szCs w:val="21"/>
              </w:rPr>
            </m:ctrlPr>
          </m:sSubSupPr>
          <m:e>
            <m:r>
              <w:rPr>
                <w:rFonts w:ascii="Cambria Math" w:hAnsi="Cambria Math"/>
                <w:szCs w:val="21"/>
              </w:rPr>
              <m:t>Q</m:t>
            </m:r>
            <m:ctrlPr>
              <w:rPr>
                <w:rFonts w:ascii="Cambria Math" w:hAnsi="Cambria Math"/>
                <w:i/>
                <w:szCs w:val="21"/>
              </w:rPr>
            </m:ctrlPr>
          </m:e>
          <m:sub>
            <m:r>
              <w:rPr>
                <w:rFonts w:ascii="Cambria Math" w:hAnsi="Cambria Math"/>
                <w:szCs w:val="21"/>
              </w:rPr>
              <m:t>pl</m:t>
            </m:r>
            <m:ctrlPr>
              <w:rPr>
                <w:rFonts w:ascii="Cambria Math" w:hAnsi="Cambria Math"/>
                <w:i/>
                <w:szCs w:val="21"/>
              </w:rPr>
            </m:ctrlPr>
          </m:sub>
          <m:sup>
            <m:r>
              <w:rPr>
                <w:rFonts w:ascii="Cambria Math" w:hAnsi="Cambria Math"/>
                <w:szCs w:val="21"/>
              </w:rPr>
              <m:t>'</m:t>
            </m:r>
            <m:ctrlPr>
              <w:rPr>
                <w:rFonts w:ascii="Cambria Math" w:hAnsi="Cambria Math"/>
                <w:i/>
                <w:szCs w:val="21"/>
              </w:rPr>
            </m:ctrlPr>
          </m:sup>
        </m:sSubSup>
      </m:oMath>
      <w:r>
        <w:rPr>
          <w:rFonts w:hint="eastAsia" w:hAnsi="Cambria Math"/>
          <w:szCs w:val="21"/>
        </w:rPr>
        <w:t xml:space="preserve"> ——线路配属车辆数。</w:t>
      </w:r>
    </w:p>
    <w:p>
      <w:pPr>
        <w:pStyle w:val="80"/>
        <w:spacing w:before="120" w:after="120"/>
        <w:rPr>
          <w:rFonts w:hint="eastAsia"/>
        </w:rPr>
      </w:pPr>
      <w:bookmarkStart w:id="300" w:name="_Toc15153"/>
      <w:bookmarkStart w:id="301" w:name="_Toc15052"/>
      <w:r>
        <w:rPr>
          <w:rFonts w:hint="eastAsia"/>
        </w:rPr>
        <w:t>列车定员</w:t>
      </w:r>
      <w:bookmarkEnd w:id="300"/>
      <w:bookmarkEnd w:id="301"/>
    </w:p>
    <w:p>
      <w:pPr>
        <w:pStyle w:val="233"/>
      </w:pPr>
      <w:r>
        <w:rPr>
          <w:rFonts w:hint="eastAsia"/>
        </w:rPr>
        <w:t>定义：统计期内，线路客运列车额定载客的能力。</w:t>
      </w:r>
    </w:p>
    <w:p>
      <w:pPr>
        <w:pStyle w:val="233"/>
        <w:rPr>
          <w:szCs w:val="21"/>
        </w:rPr>
      </w:pPr>
      <w:r>
        <w:rPr>
          <w:rFonts w:hint="eastAsia"/>
        </w:rPr>
        <w:t>单位：人</w:t>
      </w:r>
      <w:r>
        <w:rPr>
          <w:rFonts w:hint="eastAsia"/>
          <w:szCs w:val="21"/>
        </w:rPr>
        <w:t>。</w:t>
      </w:r>
    </w:p>
    <w:p>
      <w:pPr>
        <w:pStyle w:val="233"/>
        <w:rPr>
          <w:szCs w:val="21"/>
        </w:rPr>
      </w:pPr>
      <w:r>
        <w:rPr>
          <w:rFonts w:hint="eastAsia"/>
          <w:szCs w:val="21"/>
        </w:rPr>
        <w:t>计算方法：按车辆技术规格书规定的运营列车额定载客能力。</w:t>
      </w:r>
    </w:p>
    <w:p>
      <w:pPr>
        <w:pStyle w:val="80"/>
        <w:spacing w:before="120" w:after="120"/>
        <w:rPr>
          <w:rFonts w:hint="eastAsia"/>
        </w:rPr>
      </w:pPr>
      <w:bookmarkStart w:id="302" w:name="_Toc22781"/>
      <w:bookmarkStart w:id="303" w:name="_Toc24766"/>
      <w:r>
        <w:rPr>
          <w:rFonts w:hint="eastAsia"/>
        </w:rPr>
        <w:t>运力</w:t>
      </w:r>
      <w:bookmarkEnd w:id="302"/>
      <w:bookmarkEnd w:id="303"/>
    </w:p>
    <w:p>
      <w:pPr>
        <w:pStyle w:val="81"/>
        <w:spacing w:before="120" w:after="120"/>
        <w:rPr>
          <w:rFonts w:hint="eastAsia"/>
        </w:rPr>
      </w:pPr>
      <w:r>
        <w:rPr>
          <w:rFonts w:hint="eastAsia"/>
        </w:rPr>
        <w:t>断面运力</w:t>
      </w:r>
    </w:p>
    <w:p>
      <w:pPr>
        <w:pStyle w:val="233"/>
        <w:rPr>
          <w:szCs w:val="21"/>
        </w:rPr>
      </w:pPr>
      <w:r>
        <w:rPr>
          <w:rFonts w:hint="eastAsia"/>
          <w:szCs w:val="21"/>
        </w:rPr>
        <w:t>定义：统计期内，线路某断面单向的运输能力。</w:t>
      </w:r>
    </w:p>
    <w:p>
      <w:pPr>
        <w:pStyle w:val="233"/>
        <w:rPr>
          <w:szCs w:val="21"/>
        </w:rPr>
      </w:pPr>
      <w:r>
        <w:rPr>
          <w:rFonts w:hint="eastAsia"/>
          <w:szCs w:val="21"/>
        </w:rPr>
        <w:t>单位：人。</w:t>
      </w:r>
    </w:p>
    <w:p>
      <w:pPr>
        <w:pStyle w:val="233"/>
        <w:rPr>
          <w:szCs w:val="21"/>
        </w:rPr>
      </w:pPr>
      <w:r>
        <w:rPr>
          <w:rFonts w:hint="eastAsia"/>
          <w:szCs w:val="21"/>
        </w:rPr>
        <w:t>计算方法：见式A.9。</w:t>
      </w:r>
    </w:p>
    <w:p>
      <w:pPr>
        <w:pStyle w:val="233"/>
        <w:jc w:val="right"/>
        <w:rPr>
          <w:szCs w:val="21"/>
        </w:rPr>
      </w:pPr>
      <m:oMath>
        <m:sSub>
          <m:sSubPr>
            <m:ctrlPr>
              <w:rPr>
                <w:rFonts w:ascii="Cambria Math" w:hAnsi="Cambria Math"/>
                <w:i/>
                <w:szCs w:val="21"/>
              </w:rPr>
            </m:ctrlPr>
          </m:sSubPr>
          <m:e>
            <m:r>
              <w:rPr>
                <w:rFonts w:ascii="Cambria Math" w:hAnsi="Cambria Math"/>
                <w:szCs w:val="21"/>
              </w:rPr>
              <m:t>C</m:t>
            </m:r>
            <m:ctrlPr>
              <w:rPr>
                <w:rFonts w:ascii="Cambria Math" w:hAnsi="Cambria Math"/>
                <w:i/>
                <w:szCs w:val="21"/>
              </w:rPr>
            </m:ctrlPr>
          </m:e>
          <m:sub>
            <m:r>
              <w:rPr>
                <w:rFonts w:ascii="Cambria Math" w:hAnsi="Cambria Math"/>
                <w:szCs w:val="21"/>
              </w:rPr>
              <m:t>d</m:t>
            </m:r>
            <m:ctrlPr>
              <w:rPr>
                <w:rFonts w:ascii="Cambria Math" w:hAnsi="Cambria Math"/>
                <w:i/>
                <w:szCs w:val="21"/>
              </w:rPr>
            </m:ctrlP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N</m:t>
            </m:r>
            <m:ctrlPr>
              <w:rPr>
                <w:rFonts w:ascii="Cambria Math" w:hAnsi="Cambria Math"/>
                <w:i/>
                <w:szCs w:val="21"/>
              </w:rPr>
            </m:ctrlPr>
          </m:e>
          <m:sub>
            <m:r>
              <w:rPr>
                <w:rFonts w:ascii="Cambria Math" w:hAnsi="Cambria Math"/>
                <w:szCs w:val="21"/>
              </w:rPr>
              <m:t>l</m:t>
            </m:r>
            <m:ctrlPr>
              <w:rPr>
                <w:rFonts w:ascii="Cambria Math" w:hAnsi="Cambria Math"/>
                <w:i/>
                <w:szCs w:val="21"/>
              </w:rPr>
            </m:ctrlPr>
          </m:sub>
        </m:sSub>
        <m:r>
          <w:rPr>
            <w:rFonts w:ascii="Cambria Math" w:hAnsi="Cambria Math"/>
            <w:szCs w:val="21"/>
          </w:rPr>
          <m:t>×D</m:t>
        </m:r>
      </m:oMath>
      <w:r>
        <w:rPr>
          <w:rStyle w:val="244"/>
        </w:rPr>
        <w:t>……………………………………</w:t>
      </w:r>
      <w:r>
        <w:rPr>
          <w:rFonts w:hint="eastAsia" w:hAnsi="Cambria Math"/>
          <w:szCs w:val="21"/>
        </w:rPr>
        <w:t>（A.9）</w:t>
      </w:r>
    </w:p>
    <w:p>
      <w:pPr>
        <w:pStyle w:val="233"/>
        <w:rPr>
          <w:szCs w:val="21"/>
        </w:rPr>
      </w:pPr>
      <w:r>
        <w:rPr>
          <w:rFonts w:hint="eastAsia"/>
          <w:szCs w:val="21"/>
        </w:rPr>
        <w:t>式中：</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C</m:t>
            </m:r>
            <m:ctrlPr>
              <w:rPr>
                <w:rFonts w:ascii="Cambria Math" w:hAnsi="Cambria Math"/>
                <w:i/>
                <w:szCs w:val="21"/>
              </w:rPr>
            </m:ctrlPr>
          </m:e>
          <m:sub>
            <m:r>
              <w:rPr>
                <w:rFonts w:ascii="Cambria Math" w:hAnsi="Cambria Math"/>
                <w:szCs w:val="21"/>
              </w:rPr>
              <m:t>d</m:t>
            </m:r>
            <m:ctrlPr>
              <w:rPr>
                <w:rFonts w:ascii="Cambria Math" w:hAnsi="Cambria Math"/>
                <w:i/>
                <w:szCs w:val="21"/>
              </w:rPr>
            </m:ctrlPr>
          </m:sub>
        </m:sSub>
      </m:oMath>
      <w:r>
        <w:rPr>
          <w:rFonts w:hint="eastAsia" w:hAnsi="Cambria Math"/>
          <w:szCs w:val="21"/>
        </w:rPr>
        <w:t xml:space="preserve"> ——断面运力；</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N</m:t>
            </m:r>
            <m:ctrlPr>
              <w:rPr>
                <w:rFonts w:ascii="Cambria Math" w:hAnsi="Cambria Math"/>
                <w:i/>
                <w:szCs w:val="21"/>
              </w:rPr>
            </m:ctrlPr>
          </m:e>
          <m:sub>
            <m:r>
              <w:rPr>
                <w:rFonts w:ascii="Cambria Math" w:hAnsi="Cambria Math"/>
                <w:szCs w:val="21"/>
              </w:rPr>
              <m:t>l</m:t>
            </m:r>
            <m:ctrlPr>
              <w:rPr>
                <w:rFonts w:ascii="Cambria Math" w:hAnsi="Cambria Math"/>
                <w:i/>
                <w:szCs w:val="21"/>
              </w:rPr>
            </m:ctrlPr>
          </m:sub>
        </m:sSub>
      </m:oMath>
      <w:r>
        <w:rPr>
          <w:rFonts w:hint="eastAsia" w:hAnsi="Cambria Math"/>
          <w:szCs w:val="21"/>
        </w:rPr>
        <w:t xml:space="preserve"> ——断面单向开行列数；</w:t>
      </w:r>
    </w:p>
    <w:p>
      <w:pPr>
        <w:pStyle w:val="233"/>
        <w:rPr>
          <w:rFonts w:hint="eastAsia" w:hAnsi="Cambria Math"/>
          <w:szCs w:val="21"/>
        </w:rPr>
      </w:pPr>
      <m:oMath>
        <m:r>
          <w:rPr>
            <w:rFonts w:ascii="Cambria Math" w:hAnsi="Cambria Math"/>
            <w:szCs w:val="21"/>
          </w:rPr>
          <m:t>D</m:t>
        </m:r>
      </m:oMath>
      <w:r>
        <w:rPr>
          <w:rFonts w:hint="eastAsia" w:hAnsi="Cambria Math"/>
          <w:szCs w:val="21"/>
        </w:rPr>
        <w:t xml:space="preserve"> ——列车定员。</w:t>
      </w:r>
    </w:p>
    <w:p>
      <w:pPr>
        <w:pStyle w:val="81"/>
        <w:spacing w:before="120" w:after="120"/>
        <w:rPr>
          <w:rFonts w:hint="eastAsia"/>
        </w:rPr>
      </w:pPr>
      <w:r>
        <w:rPr>
          <w:rFonts w:hint="eastAsia"/>
        </w:rPr>
        <w:t>线路运力</w:t>
      </w:r>
    </w:p>
    <w:p>
      <w:pPr>
        <w:pStyle w:val="233"/>
        <w:rPr>
          <w:szCs w:val="21"/>
        </w:rPr>
      </w:pPr>
      <w:r>
        <w:rPr>
          <w:rFonts w:hint="eastAsia"/>
          <w:szCs w:val="21"/>
        </w:rPr>
        <w:t>定义：统计期内，线路实际所提供的全部载客运营列车的运输能力。</w:t>
      </w:r>
    </w:p>
    <w:p>
      <w:pPr>
        <w:pStyle w:val="233"/>
        <w:rPr>
          <w:szCs w:val="21"/>
        </w:rPr>
      </w:pPr>
      <w:r>
        <w:rPr>
          <w:rFonts w:hint="eastAsia"/>
          <w:szCs w:val="21"/>
        </w:rPr>
        <w:t>单位：人。</w:t>
      </w:r>
    </w:p>
    <w:p>
      <w:pPr>
        <w:pStyle w:val="233"/>
        <w:rPr>
          <w:szCs w:val="21"/>
        </w:rPr>
      </w:pPr>
      <w:r>
        <w:rPr>
          <w:rFonts w:hint="eastAsia"/>
          <w:szCs w:val="21"/>
        </w:rPr>
        <w:t>计算方法：见式A.10。</w:t>
      </w:r>
    </w:p>
    <w:p>
      <w:pPr>
        <w:pStyle w:val="233"/>
        <w:jc w:val="right"/>
        <w:rPr>
          <w:szCs w:val="21"/>
        </w:rPr>
      </w:pPr>
      <m:oMath>
        <m:sSub>
          <m:sSubPr>
            <m:ctrlPr>
              <w:rPr>
                <w:rFonts w:ascii="Cambria Math" w:hAnsi="Cambria Math"/>
                <w:i/>
                <w:szCs w:val="21"/>
              </w:rPr>
            </m:ctrlPr>
          </m:sSubPr>
          <m:e>
            <m:r>
              <w:rPr>
                <w:rFonts w:ascii="Cambria Math" w:hAnsi="Cambria Math"/>
                <w:szCs w:val="21"/>
              </w:rPr>
              <m:t>C</m:t>
            </m:r>
            <m:ctrlPr>
              <w:rPr>
                <w:rFonts w:ascii="Cambria Math" w:hAnsi="Cambria Math"/>
                <w:i/>
                <w:szCs w:val="21"/>
              </w:rPr>
            </m:ctrlPr>
          </m:e>
          <m:sub>
            <m:r>
              <w:rPr>
                <w:rFonts w:ascii="Cambria Math" w:hAnsi="Cambria Math"/>
                <w:szCs w:val="21"/>
              </w:rPr>
              <m:t>l</m:t>
            </m:r>
            <m:ctrlPr>
              <w:rPr>
                <w:rFonts w:ascii="Cambria Math" w:hAnsi="Cambria Math"/>
                <w:i/>
                <w:szCs w:val="21"/>
              </w:rPr>
            </m:ctrlP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5l</m:t>
            </m:r>
            <m:ctrlPr>
              <w:rPr>
                <w:rFonts w:ascii="Cambria Math" w:hAnsi="Cambria Math"/>
                <w:i/>
                <w:szCs w:val="21"/>
              </w:rPr>
            </m:ctrlPr>
          </m:sub>
        </m:sSub>
        <m:r>
          <w:rPr>
            <w:rFonts w:ascii="Cambria Math" w:hAnsi="Cambria Math"/>
            <w:szCs w:val="21"/>
          </w:rPr>
          <m:t>×D</m:t>
        </m:r>
      </m:oMath>
      <w:r>
        <w:rPr>
          <w:rStyle w:val="244"/>
        </w:rPr>
        <w:t>……………………………………</w:t>
      </w:r>
      <w:r>
        <w:rPr>
          <w:rFonts w:hint="eastAsia" w:hAnsi="Cambria Math"/>
          <w:szCs w:val="21"/>
        </w:rPr>
        <w:t>（A.10）</w:t>
      </w:r>
    </w:p>
    <w:p>
      <w:pPr>
        <w:pStyle w:val="233"/>
        <w:rPr>
          <w:szCs w:val="21"/>
        </w:rPr>
      </w:pPr>
      <w:r>
        <w:rPr>
          <w:rFonts w:hint="eastAsia"/>
          <w:szCs w:val="21"/>
        </w:rPr>
        <w:t>式中：</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C</m:t>
            </m:r>
            <m:ctrlPr>
              <w:rPr>
                <w:rFonts w:ascii="Cambria Math" w:hAnsi="Cambria Math"/>
                <w:i/>
                <w:szCs w:val="21"/>
              </w:rPr>
            </m:ctrlPr>
          </m:e>
          <m:sub>
            <m:r>
              <w:rPr>
                <w:rFonts w:ascii="Cambria Math" w:hAnsi="Cambria Math"/>
                <w:szCs w:val="21"/>
              </w:rPr>
              <m:t>l</m:t>
            </m:r>
            <m:ctrlPr>
              <w:rPr>
                <w:rFonts w:ascii="Cambria Math" w:hAnsi="Cambria Math"/>
                <w:i/>
                <w:szCs w:val="21"/>
              </w:rPr>
            </m:ctrlPr>
          </m:sub>
        </m:sSub>
      </m:oMath>
      <w:r>
        <w:rPr>
          <w:rFonts w:hint="eastAsia" w:hAnsi="Cambria Math"/>
          <w:szCs w:val="21"/>
        </w:rPr>
        <w:t xml:space="preserve"> ——线路运力；</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5l</m:t>
            </m:r>
            <m:ctrlPr>
              <w:rPr>
                <w:rFonts w:ascii="Cambria Math" w:hAnsi="Cambria Math"/>
                <w:i/>
                <w:szCs w:val="21"/>
              </w:rPr>
            </m:ctrlPr>
          </m:sub>
        </m:sSub>
      </m:oMath>
      <w:r>
        <w:rPr>
          <w:rFonts w:hint="eastAsia" w:hAnsi="Cambria Math"/>
          <w:szCs w:val="21"/>
        </w:rPr>
        <w:t xml:space="preserve"> ——线路上线列次。</w:t>
      </w:r>
    </w:p>
    <w:p>
      <w:pPr>
        <w:pStyle w:val="80"/>
        <w:spacing w:before="120" w:after="120"/>
        <w:rPr>
          <w:rFonts w:hint="eastAsia"/>
        </w:rPr>
      </w:pPr>
      <w:bookmarkStart w:id="304" w:name="_Toc27279"/>
      <w:bookmarkStart w:id="305" w:name="_Toc30829"/>
      <w:r>
        <w:rPr>
          <w:rFonts w:hint="eastAsia"/>
        </w:rPr>
        <w:t>客位里程</w:t>
      </w:r>
      <w:bookmarkEnd w:id="304"/>
      <w:bookmarkEnd w:id="305"/>
    </w:p>
    <w:p>
      <w:pPr>
        <w:pStyle w:val="233"/>
        <w:rPr>
          <w:szCs w:val="21"/>
        </w:rPr>
      </w:pPr>
      <w:r>
        <w:rPr>
          <w:rFonts w:hint="eastAsia"/>
          <w:szCs w:val="21"/>
        </w:rPr>
        <w:t>定义：统计期内，线路运营车公里与列车定员的乘积，表示线路为乘客及其位移提供载客服务的能力。</w:t>
      </w:r>
    </w:p>
    <w:p>
      <w:pPr>
        <w:pStyle w:val="233"/>
        <w:rPr>
          <w:szCs w:val="21"/>
        </w:rPr>
      </w:pPr>
      <w:r>
        <w:rPr>
          <w:rFonts w:hint="eastAsia"/>
          <w:szCs w:val="21"/>
        </w:rPr>
        <w:t>单位：人公里。</w:t>
      </w:r>
    </w:p>
    <w:p>
      <w:pPr>
        <w:pStyle w:val="233"/>
        <w:rPr>
          <w:szCs w:val="21"/>
        </w:rPr>
      </w:pPr>
      <w:r>
        <w:rPr>
          <w:rFonts w:hint="eastAsia"/>
          <w:szCs w:val="21"/>
        </w:rPr>
        <w:t>计算方法：见式A.11。</w:t>
      </w:r>
    </w:p>
    <w:p>
      <w:pPr>
        <w:pStyle w:val="233"/>
        <w:jc w:val="right"/>
        <w:rPr>
          <w:szCs w:val="21"/>
        </w:rPr>
      </w:pPr>
      <m:oMath>
        <m:sSub>
          <m:sSubPr>
            <m:ctrlPr>
              <w:rPr>
                <w:rFonts w:ascii="Cambria Math" w:hAnsi="Cambria Math"/>
                <w:i/>
                <w:szCs w:val="21"/>
              </w:rPr>
            </m:ctrlPr>
          </m:sSubPr>
          <m:e>
            <m:r>
              <w:rPr>
                <w:rFonts w:ascii="Cambria Math" w:hAnsi="Cambria Math"/>
                <w:szCs w:val="21"/>
              </w:rPr>
              <m:t>S</m:t>
            </m:r>
            <m:ctrlPr>
              <w:rPr>
                <w:rFonts w:ascii="Cambria Math" w:hAnsi="Cambria Math"/>
                <w:i/>
                <w:szCs w:val="21"/>
              </w:rPr>
            </m:ctrlPr>
          </m:e>
          <m:sub>
            <m:r>
              <w:rPr>
                <w:rFonts w:ascii="Cambria Math" w:hAnsi="Cambria Math"/>
                <w:szCs w:val="21"/>
              </w:rPr>
              <m:t>3l</m:t>
            </m:r>
            <m:ctrlPr>
              <w:rPr>
                <w:rFonts w:ascii="Cambria Math" w:hAnsi="Cambria Math"/>
                <w:i/>
                <w:szCs w:val="21"/>
              </w:rPr>
            </m:ctrlP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S</m:t>
            </m:r>
            <m:ctrlPr>
              <w:rPr>
                <w:rFonts w:ascii="Cambria Math" w:hAnsi="Cambria Math"/>
                <w:i/>
                <w:szCs w:val="21"/>
              </w:rPr>
            </m:ctrlPr>
          </m:e>
          <m:sub>
            <m:r>
              <w:rPr>
                <w:rFonts w:ascii="Cambria Math" w:hAnsi="Cambria Math"/>
                <w:szCs w:val="21"/>
              </w:rPr>
              <m:t>1l</m:t>
            </m:r>
            <m:ctrlPr>
              <w:rPr>
                <w:rFonts w:ascii="Cambria Math" w:hAnsi="Cambria Math"/>
                <w:i/>
                <w:szCs w:val="21"/>
              </w:rPr>
            </m:ctrlPr>
          </m:sub>
        </m:sSub>
        <m:r>
          <w:rPr>
            <w:rFonts w:ascii="Cambria Math" w:hAnsi="Cambria Math"/>
            <w:szCs w:val="21"/>
          </w:rPr>
          <m:t>×D</m:t>
        </m:r>
      </m:oMath>
      <w:r>
        <w:rPr>
          <w:rStyle w:val="244"/>
        </w:rPr>
        <w:t>……………………………………</w:t>
      </w:r>
      <w:r>
        <w:rPr>
          <w:rFonts w:hint="eastAsia" w:hAnsi="Cambria Math"/>
          <w:szCs w:val="21"/>
        </w:rPr>
        <w:t>（A.11）</w:t>
      </w:r>
    </w:p>
    <w:p>
      <w:pPr>
        <w:pStyle w:val="233"/>
        <w:rPr>
          <w:szCs w:val="21"/>
        </w:rPr>
      </w:pPr>
      <w:r>
        <w:rPr>
          <w:rFonts w:hint="eastAsia"/>
          <w:szCs w:val="21"/>
        </w:rPr>
        <w:t>式中：</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S</m:t>
            </m:r>
            <m:ctrlPr>
              <w:rPr>
                <w:rFonts w:ascii="Cambria Math" w:hAnsi="Cambria Math"/>
                <w:i/>
                <w:szCs w:val="21"/>
              </w:rPr>
            </m:ctrlPr>
          </m:e>
          <m:sub>
            <m:r>
              <w:rPr>
                <w:rFonts w:ascii="Cambria Math" w:hAnsi="Cambria Math"/>
                <w:szCs w:val="21"/>
              </w:rPr>
              <m:t>3l</m:t>
            </m:r>
            <m:ctrlPr>
              <w:rPr>
                <w:rFonts w:ascii="Cambria Math" w:hAnsi="Cambria Math"/>
                <w:i/>
                <w:szCs w:val="21"/>
              </w:rPr>
            </m:ctrlPr>
          </m:sub>
        </m:sSub>
      </m:oMath>
      <w:r>
        <w:rPr>
          <w:rFonts w:hint="eastAsia" w:hAnsi="Cambria Math"/>
          <w:szCs w:val="21"/>
        </w:rPr>
        <w:t xml:space="preserve"> ——线路客位里程。</w:t>
      </w:r>
    </w:p>
    <w:p>
      <w:pPr>
        <w:pStyle w:val="246"/>
        <w:keepNext w:val="0"/>
        <w:keepLines w:val="0"/>
        <w:pageBreakBefore w:val="0"/>
        <w:widowControl w:val="0"/>
        <w:numPr>
          <w:ilvl w:val="0"/>
          <w:numId w:val="0"/>
        </w:numPr>
        <w:kinsoku/>
        <w:wordWrap/>
        <w:overflowPunct/>
        <w:topLinePunct w:val="0"/>
        <w:autoSpaceDE/>
        <w:autoSpaceDN/>
        <w:bidi w:val="0"/>
        <w:adjustRightInd w:val="0"/>
        <w:snapToGrid/>
        <w:spacing w:line="240" w:lineRule="auto"/>
        <w:ind w:left="420" w:leftChars="200" w:firstLine="0" w:firstLineChars="0"/>
        <w:textAlignment w:val="auto"/>
      </w:pPr>
      <w:r>
        <w:rPr>
          <w:rFonts w:hint="eastAsia" w:ascii="黑体" w:hAnsi="黑体" w:eastAsia="黑体" w:cs="黑体"/>
          <w:lang w:val="en-US" w:eastAsia="zh-CN"/>
        </w:rPr>
        <w:t>注：</w:t>
      </w:r>
      <w:r>
        <w:rPr>
          <w:rFonts w:hint="eastAsia"/>
        </w:rPr>
        <w:t>客位里程又称运能公里。</w:t>
      </w:r>
    </w:p>
    <w:p>
      <w:pPr>
        <w:pStyle w:val="80"/>
        <w:spacing w:before="120" w:after="120"/>
        <w:rPr>
          <w:rFonts w:hint="eastAsia"/>
        </w:rPr>
      </w:pPr>
      <w:bookmarkStart w:id="306" w:name="_Toc4379"/>
      <w:bookmarkStart w:id="307" w:name="_Toc30794"/>
      <w:r>
        <w:rPr>
          <w:rFonts w:hint="eastAsia"/>
        </w:rPr>
        <w:t>平均满载率</w:t>
      </w:r>
      <w:bookmarkEnd w:id="306"/>
      <w:bookmarkEnd w:id="307"/>
    </w:p>
    <w:p>
      <w:pPr>
        <w:pStyle w:val="233"/>
        <w:rPr>
          <w:szCs w:val="21"/>
        </w:rPr>
      </w:pPr>
      <w:r>
        <w:rPr>
          <w:rFonts w:hint="eastAsia"/>
          <w:szCs w:val="21"/>
        </w:rPr>
        <w:t>定义：统计期内，运营线路所有上线列车的平均满载情况。</w:t>
      </w:r>
    </w:p>
    <w:p>
      <w:pPr>
        <w:pStyle w:val="233"/>
        <w:rPr>
          <w:szCs w:val="21"/>
        </w:rPr>
      </w:pPr>
      <w:r>
        <w:rPr>
          <w:rFonts w:hint="eastAsia"/>
          <w:szCs w:val="21"/>
        </w:rPr>
        <w:t>单位：%。</w:t>
      </w:r>
    </w:p>
    <w:p>
      <w:pPr>
        <w:pStyle w:val="233"/>
        <w:rPr>
          <w:szCs w:val="21"/>
        </w:rPr>
      </w:pPr>
      <w:r>
        <w:rPr>
          <w:rFonts w:hint="eastAsia"/>
          <w:szCs w:val="21"/>
        </w:rPr>
        <w:t>计算方法：见式A.12。</w:t>
      </w:r>
    </w:p>
    <w:p>
      <w:pPr>
        <w:pStyle w:val="233"/>
        <w:jc w:val="right"/>
        <w:rPr>
          <w:szCs w:val="21"/>
        </w:rPr>
      </w:pPr>
      <m:oMath>
        <m:sSub>
          <m:sSubPr>
            <m:ctrlPr>
              <w:rPr>
                <w:rFonts w:ascii="Cambria Math" w:hAnsi="Cambria Math"/>
                <w:i/>
                <w:szCs w:val="21"/>
              </w:rPr>
            </m:ctrlPr>
          </m:sSubPr>
          <m:e>
            <m:r>
              <w:rPr>
                <w:rFonts w:ascii="Cambria Math" w:hAnsi="Cambria Math"/>
                <w:szCs w:val="21"/>
              </w:rPr>
              <m:t>R</m:t>
            </m:r>
            <m:ctrlPr>
              <w:rPr>
                <w:rFonts w:ascii="Cambria Math" w:hAnsi="Cambria Math"/>
                <w:i/>
                <w:szCs w:val="21"/>
              </w:rPr>
            </m:ctrlPr>
          </m:e>
          <m:sub>
            <m:r>
              <w:rPr>
                <w:rFonts w:ascii="Cambria Math" w:hAnsi="Cambria Math"/>
                <w:szCs w:val="21"/>
              </w:rPr>
              <m:t>3l</m:t>
            </m:r>
            <m:ctrlPr>
              <w:rPr>
                <w:rFonts w:ascii="Cambria Math" w:hAnsi="Cambria Math"/>
                <w:i/>
                <w:szCs w:val="21"/>
              </w:rPr>
            </m:ctrlPr>
          </m:sub>
        </m:sSub>
        <m:r>
          <w:rPr>
            <w:rFonts w:ascii="Cambria Math" w:hAnsi="Cambria Math"/>
            <w:szCs w:val="21"/>
          </w:rPr>
          <m:t>=</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P</m:t>
                </m:r>
                <m:ctrlPr>
                  <w:rPr>
                    <w:rFonts w:ascii="Cambria Math" w:hAnsi="Cambria Math"/>
                    <w:i/>
                    <w:szCs w:val="21"/>
                  </w:rPr>
                </m:ctrlPr>
              </m:e>
              <m:sub>
                <m:r>
                  <w:rPr>
                    <w:rFonts w:ascii="Cambria Math" w:hAnsi="Cambria Math"/>
                    <w:szCs w:val="21"/>
                  </w:rPr>
                  <m:t>1l</m:t>
                </m:r>
                <m:ctrlPr>
                  <w:rPr>
                    <w:rFonts w:ascii="Cambria Math" w:hAnsi="Cambria Math"/>
                    <w:i/>
                    <w:szCs w:val="21"/>
                  </w:rPr>
                </m:ctrlPr>
              </m:sub>
            </m:sSub>
            <m:ctrlPr>
              <w:rPr>
                <w:rFonts w:ascii="Cambria Math" w:hAnsi="Cambria Math"/>
                <w:i/>
                <w:szCs w:val="21"/>
              </w:rPr>
            </m:ctrlPr>
          </m:num>
          <m:den>
            <m:sSub>
              <m:sSubPr>
                <m:ctrlPr>
                  <w:rPr>
                    <w:rFonts w:ascii="Cambria Math" w:hAnsi="Cambria Math"/>
                    <w:i/>
                    <w:szCs w:val="21"/>
                  </w:rPr>
                </m:ctrlPr>
              </m:sSubPr>
              <m:e>
                <m:r>
                  <w:rPr>
                    <w:rFonts w:ascii="Cambria Math" w:hAnsi="Cambria Math"/>
                    <w:szCs w:val="21"/>
                  </w:rPr>
                  <m:t>S</m:t>
                </m:r>
                <m:ctrlPr>
                  <w:rPr>
                    <w:rFonts w:ascii="Cambria Math" w:hAnsi="Cambria Math"/>
                    <w:i/>
                    <w:szCs w:val="21"/>
                  </w:rPr>
                </m:ctrlPr>
              </m:e>
              <m:sub>
                <m:r>
                  <w:rPr>
                    <w:rFonts w:ascii="Cambria Math" w:hAnsi="Cambria Math"/>
                    <w:szCs w:val="21"/>
                  </w:rPr>
                  <m:t>3l</m:t>
                </m:r>
                <m:ctrlPr>
                  <w:rPr>
                    <w:rFonts w:ascii="Cambria Math" w:hAnsi="Cambria Math"/>
                    <w:i/>
                    <w:szCs w:val="21"/>
                  </w:rPr>
                </m:ctrlPr>
              </m:sub>
            </m:sSub>
            <m:ctrlPr>
              <w:rPr>
                <w:rFonts w:ascii="Cambria Math" w:hAnsi="Cambria Math"/>
                <w:i/>
                <w:szCs w:val="21"/>
              </w:rPr>
            </m:ctrlPr>
          </m:den>
        </m:f>
        <m:r>
          <w:rPr>
            <w:rFonts w:ascii="Cambria Math" w:hAnsi="Cambria Math"/>
            <w:szCs w:val="21"/>
          </w:rPr>
          <m:t>×100%</m:t>
        </m:r>
      </m:oMath>
      <w:r>
        <w:rPr>
          <w:rStyle w:val="244"/>
        </w:rPr>
        <w:t>……………………………………</w:t>
      </w:r>
      <w:r>
        <w:rPr>
          <w:rFonts w:hint="eastAsia" w:hAnsi="Cambria Math"/>
          <w:szCs w:val="21"/>
        </w:rPr>
        <w:t>（A.12）</w:t>
      </w:r>
    </w:p>
    <w:p>
      <w:pPr>
        <w:pStyle w:val="233"/>
        <w:rPr>
          <w:szCs w:val="21"/>
        </w:rPr>
      </w:pPr>
      <w:r>
        <w:rPr>
          <w:rFonts w:hint="eastAsia"/>
          <w:szCs w:val="21"/>
        </w:rPr>
        <w:t>式中：</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R</m:t>
            </m:r>
            <m:ctrlPr>
              <w:rPr>
                <w:rFonts w:ascii="Cambria Math" w:hAnsi="Cambria Math"/>
                <w:i/>
                <w:szCs w:val="21"/>
              </w:rPr>
            </m:ctrlPr>
          </m:e>
          <m:sub>
            <m:r>
              <w:rPr>
                <w:rFonts w:ascii="Cambria Math" w:hAnsi="Cambria Math"/>
                <w:szCs w:val="21"/>
              </w:rPr>
              <m:t>3l</m:t>
            </m:r>
            <m:ctrlPr>
              <w:rPr>
                <w:rFonts w:ascii="Cambria Math" w:hAnsi="Cambria Math"/>
                <w:i/>
                <w:szCs w:val="21"/>
              </w:rPr>
            </m:ctrlPr>
          </m:sub>
        </m:sSub>
      </m:oMath>
      <w:r>
        <w:rPr>
          <w:rFonts w:hint="eastAsia" w:hAnsi="Cambria Math"/>
          <w:szCs w:val="21"/>
        </w:rPr>
        <w:t xml:space="preserve"> ——线路平均满载率；</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P</m:t>
            </m:r>
            <m:ctrlPr>
              <w:rPr>
                <w:rFonts w:ascii="Cambria Math" w:hAnsi="Cambria Math"/>
                <w:i/>
                <w:szCs w:val="21"/>
              </w:rPr>
            </m:ctrlPr>
          </m:e>
          <m:sub>
            <m:r>
              <w:rPr>
                <w:rFonts w:ascii="Cambria Math" w:hAnsi="Cambria Math"/>
                <w:szCs w:val="21"/>
              </w:rPr>
              <m:t>1l</m:t>
            </m:r>
            <m:ctrlPr>
              <w:rPr>
                <w:rFonts w:ascii="Cambria Math" w:hAnsi="Cambria Math"/>
                <w:i/>
                <w:szCs w:val="21"/>
              </w:rPr>
            </m:ctrlPr>
          </m:sub>
        </m:sSub>
      </m:oMath>
      <w:r>
        <w:rPr>
          <w:rFonts w:hint="eastAsia" w:hAnsi="Cambria Math"/>
          <w:szCs w:val="21"/>
        </w:rPr>
        <w:t xml:space="preserve"> ——线路日均客运周转量。</w:t>
      </w:r>
    </w:p>
    <w:p>
      <w:pPr>
        <w:pStyle w:val="80"/>
        <w:spacing w:before="120" w:after="120"/>
        <w:rPr>
          <w:rFonts w:hint="eastAsia"/>
        </w:rPr>
      </w:pPr>
      <w:bookmarkStart w:id="308" w:name="_Toc27806"/>
      <w:bookmarkStart w:id="309" w:name="_Toc17445"/>
      <w:r>
        <w:rPr>
          <w:rFonts w:hint="eastAsia"/>
          <w:lang w:eastAsia="zh-CN"/>
        </w:rPr>
        <w:t>运行</w:t>
      </w:r>
      <w:r>
        <w:rPr>
          <w:rFonts w:hint="eastAsia"/>
        </w:rPr>
        <w:t>速度</w:t>
      </w:r>
      <w:bookmarkEnd w:id="308"/>
      <w:bookmarkEnd w:id="309"/>
    </w:p>
    <w:p>
      <w:pPr>
        <w:pStyle w:val="81"/>
        <w:spacing w:before="120" w:after="120"/>
        <w:rPr>
          <w:rFonts w:hint="eastAsia"/>
        </w:rPr>
      </w:pPr>
      <w:r>
        <w:rPr>
          <w:rFonts w:hint="eastAsia"/>
        </w:rPr>
        <w:t>技术速度</w:t>
      </w:r>
    </w:p>
    <w:p>
      <w:pPr>
        <w:pStyle w:val="233"/>
        <w:rPr>
          <w:szCs w:val="21"/>
        </w:rPr>
      </w:pPr>
      <w:r>
        <w:rPr>
          <w:rFonts w:hint="eastAsia"/>
          <w:szCs w:val="21"/>
        </w:rPr>
        <w:t>定义：统计期内，列车在运营线路上自起点站至终点站，不计停站时间的运行速度。</w:t>
      </w:r>
    </w:p>
    <w:p>
      <w:pPr>
        <w:pStyle w:val="233"/>
        <w:rPr>
          <w:szCs w:val="21"/>
        </w:rPr>
      </w:pPr>
      <w:r>
        <w:rPr>
          <w:rFonts w:hint="eastAsia"/>
          <w:szCs w:val="21"/>
        </w:rPr>
        <w:t>单位：</w:t>
      </w:r>
      <w:r>
        <w:rPr>
          <w:rFonts w:hint="default"/>
          <w:szCs w:val="21"/>
          <w:lang w:val="en-US"/>
        </w:rPr>
        <w:t>km/h</w:t>
      </w:r>
      <w:r>
        <w:rPr>
          <w:rFonts w:hint="eastAsia"/>
          <w:szCs w:val="21"/>
        </w:rPr>
        <w:t>。</w:t>
      </w:r>
    </w:p>
    <w:p>
      <w:pPr>
        <w:pStyle w:val="233"/>
        <w:rPr>
          <w:szCs w:val="21"/>
        </w:rPr>
      </w:pPr>
      <w:r>
        <w:rPr>
          <w:rFonts w:hint="eastAsia"/>
          <w:szCs w:val="21"/>
        </w:rPr>
        <w:t>计算方法：见式A.13。</w:t>
      </w:r>
    </w:p>
    <w:p>
      <w:pPr>
        <w:pStyle w:val="233"/>
        <w:jc w:val="right"/>
        <w:rPr>
          <w:szCs w:val="21"/>
        </w:rPr>
      </w:pPr>
      <m:oMath>
        <m:sSub>
          <m:sSubPr>
            <m:ctrlPr>
              <w:rPr>
                <w:rFonts w:ascii="Cambria Math" w:hAnsi="Cambria Math"/>
                <w:i/>
                <w:szCs w:val="21"/>
              </w:rPr>
            </m:ctrlPr>
          </m:sSubPr>
          <m:e>
            <m:r>
              <w:rPr>
                <w:rFonts w:ascii="Cambria Math" w:hAnsi="Cambria Math"/>
                <w:szCs w:val="21"/>
              </w:rPr>
              <m:t>V</m:t>
            </m:r>
            <m:ctrlPr>
              <w:rPr>
                <w:rFonts w:ascii="Cambria Math" w:hAnsi="Cambria Math"/>
                <w:i/>
                <w:szCs w:val="21"/>
              </w:rPr>
            </m:ctrlPr>
          </m:e>
          <m:sub>
            <m:r>
              <w:rPr>
                <w:rFonts w:ascii="Cambria Math" w:hAnsi="Cambria Math"/>
                <w:szCs w:val="21"/>
              </w:rPr>
              <m:t>j</m:t>
            </m:r>
            <m:ctrlPr>
              <w:rPr>
                <w:rFonts w:ascii="Cambria Math" w:hAnsi="Cambria Math"/>
                <w:i/>
                <w:szCs w:val="21"/>
              </w:rPr>
            </m:ctrlPr>
          </m:sub>
        </m:sSub>
        <m:r>
          <w:rPr>
            <w:rFonts w:ascii="Cambria Math" w:hAnsi="Cambria Math"/>
            <w:szCs w:val="21"/>
          </w:rPr>
          <m:t>=</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S</m:t>
                </m:r>
                <m:ctrlPr>
                  <w:rPr>
                    <w:rFonts w:ascii="Cambria Math" w:hAnsi="Cambria Math"/>
                    <w:i/>
                    <w:szCs w:val="21"/>
                  </w:rPr>
                </m:ctrlPr>
              </m:e>
              <m:sub>
                <m:r>
                  <w:rPr>
                    <w:rFonts w:ascii="Cambria Math" w:hAnsi="Cambria Math"/>
                    <w:szCs w:val="21"/>
                  </w:rPr>
                  <m:t>4l</m:t>
                </m:r>
                <m:ctrlPr>
                  <w:rPr>
                    <w:rFonts w:ascii="Cambria Math" w:hAnsi="Cambria Math"/>
                    <w:i/>
                    <w:szCs w:val="21"/>
                  </w:rPr>
                </m:ctrlPr>
              </m:sub>
            </m:sSub>
            <m:ctrlPr>
              <w:rPr>
                <w:rFonts w:ascii="Cambria Math" w:hAnsi="Cambria Math"/>
                <w:i/>
                <w:szCs w:val="21"/>
              </w:rPr>
            </m:ctrlPr>
          </m:num>
          <m:den>
            <m:sSub>
              <m:sSubPr>
                <m:ctrlPr>
                  <w:rPr>
                    <w:rFonts w:ascii="Cambria Math" w:hAnsi="Cambria Math"/>
                    <w:i/>
                    <w:szCs w:val="21"/>
                  </w:rPr>
                </m:ctrlPr>
              </m:sSubPr>
              <m:e>
                <m:r>
                  <w:rPr>
                    <w:rFonts w:ascii="Cambria Math" w:hAnsi="Cambria Math"/>
                    <w:szCs w:val="21"/>
                  </w:rPr>
                  <m:t>T</m:t>
                </m:r>
                <m:ctrlPr>
                  <w:rPr>
                    <w:rFonts w:ascii="Cambria Math" w:hAnsi="Cambria Math"/>
                    <w:i/>
                    <w:szCs w:val="21"/>
                  </w:rPr>
                </m:ctrlPr>
              </m:e>
              <m:sub>
                <m:r>
                  <w:rPr>
                    <w:rFonts w:ascii="Cambria Math" w:hAnsi="Cambria Math"/>
                    <w:szCs w:val="21"/>
                  </w:rPr>
                  <m:t>b</m:t>
                </m:r>
                <m:ctrlPr>
                  <w:rPr>
                    <w:rFonts w:ascii="Cambria Math" w:hAnsi="Cambria Math"/>
                    <w:i/>
                    <w:szCs w:val="21"/>
                  </w:rPr>
                </m:ctrlPr>
              </m:sub>
            </m:sSub>
            <m:ctrlPr>
              <w:rPr>
                <w:rFonts w:ascii="Cambria Math" w:hAnsi="Cambria Math"/>
                <w:i/>
                <w:szCs w:val="21"/>
              </w:rPr>
            </m:ctrlPr>
          </m:den>
        </m:f>
      </m:oMath>
      <w:r>
        <w:rPr>
          <w:rStyle w:val="244"/>
        </w:rPr>
        <w:t>…………………………………………</w:t>
      </w:r>
      <w:r>
        <w:rPr>
          <w:rFonts w:hint="eastAsia" w:hAnsi="Cambria Math"/>
          <w:szCs w:val="21"/>
        </w:rPr>
        <w:t>（A.13）</w:t>
      </w:r>
    </w:p>
    <w:p>
      <w:pPr>
        <w:pStyle w:val="233"/>
        <w:rPr>
          <w:szCs w:val="21"/>
        </w:rPr>
      </w:pPr>
      <w:r>
        <w:rPr>
          <w:rFonts w:hint="eastAsia"/>
          <w:szCs w:val="21"/>
        </w:rPr>
        <w:t>式中：</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V</m:t>
            </m:r>
            <m:ctrlPr>
              <w:rPr>
                <w:rFonts w:ascii="Cambria Math" w:hAnsi="Cambria Math"/>
                <w:i/>
                <w:szCs w:val="21"/>
              </w:rPr>
            </m:ctrlPr>
          </m:e>
          <m:sub>
            <m:r>
              <w:rPr>
                <w:rFonts w:ascii="Cambria Math" w:hAnsi="Cambria Math"/>
                <w:szCs w:val="21"/>
              </w:rPr>
              <m:t>j</m:t>
            </m:r>
            <m:ctrlPr>
              <w:rPr>
                <w:rFonts w:ascii="Cambria Math" w:hAnsi="Cambria Math"/>
                <w:i/>
                <w:szCs w:val="21"/>
              </w:rPr>
            </m:ctrlPr>
          </m:sub>
        </m:sSub>
      </m:oMath>
      <w:r>
        <w:rPr>
          <w:rFonts w:hint="eastAsia" w:hAnsi="Cambria Math"/>
          <w:szCs w:val="21"/>
        </w:rPr>
        <w:t xml:space="preserve"> ——线路平均满载率；</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S</m:t>
            </m:r>
            <m:ctrlPr>
              <w:rPr>
                <w:rFonts w:ascii="Cambria Math" w:hAnsi="Cambria Math"/>
                <w:i/>
                <w:szCs w:val="21"/>
              </w:rPr>
            </m:ctrlPr>
          </m:e>
          <m:sub>
            <m:r>
              <w:rPr>
                <w:rFonts w:ascii="Cambria Math" w:hAnsi="Cambria Math"/>
                <w:szCs w:val="21"/>
              </w:rPr>
              <m:t>4l</m:t>
            </m:r>
            <m:ctrlPr>
              <w:rPr>
                <w:rFonts w:ascii="Cambria Math" w:hAnsi="Cambria Math"/>
                <w:i/>
                <w:szCs w:val="21"/>
              </w:rPr>
            </m:ctrlPr>
          </m:sub>
        </m:sSub>
      </m:oMath>
      <w:r>
        <w:rPr>
          <w:rFonts w:hint="eastAsia" w:hAnsi="Cambria Math"/>
          <w:szCs w:val="21"/>
        </w:rPr>
        <w:t xml:space="preserve"> ——线路运营里程，单位为</w:t>
      </w:r>
      <w:r>
        <w:rPr>
          <w:rFonts w:hint="default" w:hAnsi="Cambria Math"/>
          <w:szCs w:val="21"/>
          <w:lang w:val="en-US"/>
        </w:rPr>
        <w:t>km</w:t>
      </w:r>
      <w:r>
        <w:rPr>
          <w:rFonts w:hint="eastAsia" w:hAnsi="Cambria Math"/>
          <w:szCs w:val="21"/>
        </w:rPr>
        <w:t>；</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T</m:t>
            </m:r>
            <m:ctrlPr>
              <w:rPr>
                <w:rFonts w:ascii="Cambria Math" w:hAnsi="Cambria Math"/>
                <w:i/>
                <w:szCs w:val="21"/>
              </w:rPr>
            </m:ctrlPr>
          </m:e>
          <m:sub>
            <m:r>
              <w:rPr>
                <w:rFonts w:ascii="Cambria Math" w:hAnsi="Cambria Math"/>
                <w:szCs w:val="21"/>
              </w:rPr>
              <m:t>b</m:t>
            </m:r>
            <m:ctrlPr>
              <w:rPr>
                <w:rFonts w:ascii="Cambria Math" w:hAnsi="Cambria Math"/>
                <w:i/>
                <w:szCs w:val="21"/>
              </w:rPr>
            </m:ctrlPr>
          </m:sub>
        </m:sSub>
      </m:oMath>
      <w:r>
        <w:rPr>
          <w:rFonts w:hint="eastAsia" w:hAnsi="Cambria Math"/>
          <w:szCs w:val="21"/>
        </w:rPr>
        <w:t xml:space="preserve"> ——单程区间运行时间，单位为</w:t>
      </w:r>
      <w:r>
        <w:rPr>
          <w:rFonts w:hint="default" w:hAnsi="Cambria Math"/>
          <w:szCs w:val="21"/>
          <w:lang w:val="en-US"/>
        </w:rPr>
        <w:t>h</w:t>
      </w:r>
      <w:r>
        <w:rPr>
          <w:rFonts w:hint="eastAsia" w:hAnsi="Cambria Math"/>
          <w:szCs w:val="21"/>
        </w:rPr>
        <w:t>。</w:t>
      </w:r>
    </w:p>
    <w:p>
      <w:pPr>
        <w:pStyle w:val="81"/>
        <w:spacing w:before="120" w:after="120"/>
        <w:rPr>
          <w:rFonts w:hint="eastAsia"/>
        </w:rPr>
      </w:pPr>
      <w:r>
        <w:rPr>
          <w:rFonts w:hint="eastAsia"/>
        </w:rPr>
        <w:t>最高运行速度</w:t>
      </w:r>
    </w:p>
    <w:p>
      <w:pPr>
        <w:pStyle w:val="233"/>
        <w:rPr>
          <w:szCs w:val="21"/>
        </w:rPr>
      </w:pPr>
      <w:r>
        <w:rPr>
          <w:rFonts w:hint="eastAsia"/>
          <w:szCs w:val="21"/>
        </w:rPr>
        <w:t>定义：统计期内，列车在正常运营状态下所达到的最高速度。</w:t>
      </w:r>
    </w:p>
    <w:p>
      <w:pPr>
        <w:pStyle w:val="233"/>
        <w:rPr>
          <w:szCs w:val="21"/>
        </w:rPr>
      </w:pPr>
      <w:r>
        <w:rPr>
          <w:rFonts w:hint="eastAsia"/>
          <w:szCs w:val="21"/>
        </w:rPr>
        <w:t>单位：</w:t>
      </w:r>
      <w:r>
        <w:rPr>
          <w:rFonts w:hint="default"/>
          <w:szCs w:val="21"/>
          <w:lang w:val="en-US"/>
        </w:rPr>
        <w:t>km/h</w:t>
      </w:r>
      <w:r>
        <w:rPr>
          <w:rFonts w:hint="eastAsia"/>
          <w:szCs w:val="21"/>
        </w:rPr>
        <w:t>。</w:t>
      </w:r>
    </w:p>
    <w:p>
      <w:pPr>
        <w:pStyle w:val="81"/>
        <w:spacing w:before="120" w:after="120"/>
        <w:rPr>
          <w:rFonts w:hint="eastAsia"/>
        </w:rPr>
      </w:pPr>
      <w:r>
        <w:rPr>
          <w:rFonts w:hint="eastAsia"/>
        </w:rPr>
        <w:t>旅行速度</w:t>
      </w:r>
    </w:p>
    <w:p>
      <w:pPr>
        <w:pStyle w:val="233"/>
        <w:keepNext w:val="0"/>
        <w:keepLines w:val="0"/>
        <w:pageBreakBefore w:val="0"/>
        <w:widowControl/>
        <w:kinsoku/>
        <w:wordWrap/>
        <w:overflowPunct/>
        <w:topLinePunct w:val="0"/>
        <w:autoSpaceDE w:val="0"/>
        <w:autoSpaceDN w:val="0"/>
        <w:bidi w:val="0"/>
        <w:adjustRightInd/>
        <w:snapToGrid/>
        <w:textAlignment w:val="auto"/>
        <w:rPr>
          <w:szCs w:val="21"/>
        </w:rPr>
      </w:pPr>
      <w:r>
        <w:rPr>
          <w:rFonts w:hint="eastAsia"/>
          <w:szCs w:val="21"/>
        </w:rPr>
        <w:t>定义：列车在运营线路长度范围内从始发站到终点站到达(计停站时间）的运行速度。</w:t>
      </w:r>
    </w:p>
    <w:p>
      <w:pPr>
        <w:pStyle w:val="233"/>
        <w:keepNext w:val="0"/>
        <w:keepLines w:val="0"/>
        <w:pageBreakBefore w:val="0"/>
        <w:widowControl/>
        <w:kinsoku/>
        <w:wordWrap/>
        <w:overflowPunct/>
        <w:topLinePunct w:val="0"/>
        <w:autoSpaceDE w:val="0"/>
        <w:autoSpaceDN w:val="0"/>
        <w:bidi w:val="0"/>
        <w:adjustRightInd/>
        <w:snapToGrid/>
        <w:textAlignment w:val="auto"/>
        <w:rPr>
          <w:szCs w:val="21"/>
        </w:rPr>
      </w:pPr>
      <w:r>
        <w:rPr>
          <w:rFonts w:hint="eastAsia"/>
          <w:szCs w:val="21"/>
        </w:rPr>
        <w:t>单位：</w:t>
      </w:r>
      <w:r>
        <w:rPr>
          <w:rFonts w:hint="default"/>
          <w:szCs w:val="21"/>
          <w:lang w:val="en-US"/>
        </w:rPr>
        <w:t>km/h</w:t>
      </w:r>
      <w:r>
        <w:rPr>
          <w:rFonts w:hint="eastAsia"/>
          <w:szCs w:val="21"/>
        </w:rPr>
        <w:t>。</w:t>
      </w:r>
    </w:p>
    <w:p>
      <w:pPr>
        <w:pStyle w:val="233"/>
        <w:keepNext w:val="0"/>
        <w:keepLines w:val="0"/>
        <w:pageBreakBefore w:val="0"/>
        <w:widowControl/>
        <w:kinsoku/>
        <w:wordWrap/>
        <w:overflowPunct/>
        <w:topLinePunct w:val="0"/>
        <w:autoSpaceDE w:val="0"/>
        <w:autoSpaceDN w:val="0"/>
        <w:bidi w:val="0"/>
        <w:adjustRightInd/>
        <w:snapToGrid/>
        <w:textAlignment w:val="auto"/>
        <w:rPr>
          <w:szCs w:val="21"/>
        </w:rPr>
      </w:pPr>
      <w:r>
        <w:rPr>
          <w:rFonts w:hint="eastAsia"/>
          <w:szCs w:val="21"/>
        </w:rPr>
        <w:t>计算方法：见式A.14。</w:t>
      </w:r>
    </w:p>
    <w:p>
      <w:pPr>
        <w:pStyle w:val="233"/>
        <w:keepNext w:val="0"/>
        <w:keepLines w:val="0"/>
        <w:pageBreakBefore w:val="0"/>
        <w:widowControl/>
        <w:kinsoku/>
        <w:wordWrap/>
        <w:overflowPunct/>
        <w:topLinePunct w:val="0"/>
        <w:autoSpaceDE w:val="0"/>
        <w:autoSpaceDN w:val="0"/>
        <w:bidi w:val="0"/>
        <w:adjustRightInd/>
        <w:snapToGrid/>
        <w:jc w:val="right"/>
        <w:textAlignment w:val="auto"/>
        <w:rPr>
          <w:szCs w:val="21"/>
        </w:rPr>
      </w:pPr>
      <m:oMath>
        <m:sSub>
          <m:sSubPr>
            <m:ctrlPr>
              <w:rPr>
                <w:rFonts w:ascii="Cambria Math" w:hAnsi="Cambria Math"/>
                <w:i/>
                <w:szCs w:val="21"/>
              </w:rPr>
            </m:ctrlPr>
          </m:sSubPr>
          <m:e>
            <m:r>
              <w:rPr>
                <w:rFonts w:ascii="Cambria Math" w:hAnsi="Cambria Math"/>
                <w:szCs w:val="21"/>
              </w:rPr>
              <m:t>V</m:t>
            </m:r>
            <m:ctrlPr>
              <w:rPr>
                <w:rFonts w:ascii="Cambria Math" w:hAnsi="Cambria Math"/>
                <w:i/>
                <w:szCs w:val="21"/>
              </w:rPr>
            </m:ctrlPr>
          </m:e>
          <m:sub>
            <m:r>
              <w:rPr>
                <w:rFonts w:ascii="Cambria Math" w:hAnsi="Cambria Math"/>
                <w:szCs w:val="21"/>
              </w:rPr>
              <m:t>l</m:t>
            </m:r>
            <m:ctrlPr>
              <w:rPr>
                <w:rFonts w:ascii="Cambria Math" w:hAnsi="Cambria Math"/>
                <w:i/>
                <w:szCs w:val="21"/>
              </w:rPr>
            </m:ctrlPr>
          </m:sub>
        </m:sSub>
        <m:r>
          <w:rPr>
            <w:rFonts w:ascii="Cambria Math" w:hAnsi="Cambria Math"/>
            <w:szCs w:val="21"/>
          </w:rPr>
          <m:t>=</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S</m:t>
                </m:r>
                <m:ctrlPr>
                  <w:rPr>
                    <w:rFonts w:ascii="Cambria Math" w:hAnsi="Cambria Math"/>
                    <w:i/>
                    <w:szCs w:val="21"/>
                  </w:rPr>
                </m:ctrlPr>
              </m:e>
              <m:sub>
                <m:r>
                  <w:rPr>
                    <w:rFonts w:ascii="Cambria Math" w:hAnsi="Cambria Math"/>
                    <w:szCs w:val="21"/>
                  </w:rPr>
                  <m:t>4l</m:t>
                </m:r>
                <m:ctrlPr>
                  <w:rPr>
                    <w:rFonts w:ascii="Cambria Math" w:hAnsi="Cambria Math"/>
                    <w:i/>
                    <w:szCs w:val="21"/>
                  </w:rPr>
                </m:ctrlPr>
              </m:sub>
            </m:sSub>
            <m:ctrlPr>
              <w:rPr>
                <w:rFonts w:ascii="Cambria Math" w:hAnsi="Cambria Math"/>
                <w:i/>
                <w:szCs w:val="21"/>
              </w:rPr>
            </m:ctrlPr>
          </m:num>
          <m:den>
            <m:sSub>
              <m:sSubPr>
                <m:ctrlPr>
                  <w:rPr>
                    <w:rFonts w:ascii="Cambria Math" w:hAnsi="Cambria Math"/>
                    <w:i/>
                    <w:szCs w:val="21"/>
                  </w:rPr>
                </m:ctrlPr>
              </m:sSubPr>
              <m:e>
                <m:sSub>
                  <m:sSubPr>
                    <m:ctrlPr>
                      <w:rPr>
                        <w:rFonts w:ascii="Cambria Math" w:hAnsi="Cambria Math"/>
                        <w:i/>
                        <w:szCs w:val="21"/>
                      </w:rPr>
                    </m:ctrlPr>
                  </m:sSubPr>
                  <m:e>
                    <m:r>
                      <w:rPr>
                        <w:rFonts w:ascii="Cambria Math" w:hAnsi="Cambria Math"/>
                        <w:szCs w:val="21"/>
                      </w:rPr>
                      <m:t>T</m:t>
                    </m:r>
                    <m:ctrlPr>
                      <w:rPr>
                        <w:rFonts w:ascii="Cambria Math" w:hAnsi="Cambria Math"/>
                        <w:i/>
                        <w:szCs w:val="21"/>
                      </w:rPr>
                    </m:ctrlPr>
                  </m:e>
                  <m:sub>
                    <m:r>
                      <w:rPr>
                        <w:rFonts w:ascii="Cambria Math" w:hAnsi="Cambria Math"/>
                        <w:szCs w:val="21"/>
                      </w:rPr>
                      <m:t>0</m:t>
                    </m:r>
                    <m:ctrlPr>
                      <w:rPr>
                        <w:rFonts w:ascii="Cambria Math" w:hAnsi="Cambria Math"/>
                        <w:i/>
                        <w:szCs w:val="21"/>
                      </w:rPr>
                    </m:ctrlPr>
                  </m:sub>
                </m:sSub>
                <m:r>
                  <w:rPr>
                    <w:rFonts w:ascii="Cambria Math" w:hAnsi="Cambria Math"/>
                    <w:szCs w:val="21"/>
                  </w:rPr>
                  <m:t>+T</m:t>
                </m:r>
                <m:ctrlPr>
                  <w:rPr>
                    <w:rFonts w:ascii="Cambria Math" w:hAnsi="Cambria Math"/>
                    <w:i/>
                    <w:szCs w:val="21"/>
                  </w:rPr>
                </m:ctrlPr>
              </m:e>
              <m:sub>
                <m:r>
                  <w:rPr>
                    <w:rFonts w:ascii="Cambria Math" w:hAnsi="Cambria Math"/>
                    <w:szCs w:val="21"/>
                  </w:rPr>
                  <m:t>b</m:t>
                </m:r>
                <m:ctrlPr>
                  <w:rPr>
                    <w:rFonts w:ascii="Cambria Math" w:hAnsi="Cambria Math"/>
                    <w:i/>
                    <w:szCs w:val="21"/>
                  </w:rPr>
                </m:ctrlPr>
              </m:sub>
            </m:sSub>
            <m:ctrlPr>
              <w:rPr>
                <w:rFonts w:ascii="Cambria Math" w:hAnsi="Cambria Math"/>
                <w:i/>
                <w:szCs w:val="21"/>
              </w:rPr>
            </m:ctrlPr>
          </m:den>
        </m:f>
      </m:oMath>
      <w:r>
        <w:rPr>
          <w:rStyle w:val="244"/>
        </w:rPr>
        <w:t>…………………………………………</w:t>
      </w:r>
      <w:r>
        <w:rPr>
          <w:rFonts w:hint="eastAsia" w:hAnsi="Cambria Math"/>
          <w:szCs w:val="21"/>
        </w:rPr>
        <w:t>（A.14）</w:t>
      </w:r>
    </w:p>
    <w:p>
      <w:pPr>
        <w:pStyle w:val="233"/>
        <w:keepNext w:val="0"/>
        <w:keepLines w:val="0"/>
        <w:pageBreakBefore w:val="0"/>
        <w:widowControl/>
        <w:kinsoku/>
        <w:wordWrap/>
        <w:overflowPunct/>
        <w:topLinePunct w:val="0"/>
        <w:autoSpaceDE w:val="0"/>
        <w:autoSpaceDN w:val="0"/>
        <w:bidi w:val="0"/>
        <w:adjustRightInd/>
        <w:snapToGrid/>
        <w:textAlignment w:val="auto"/>
        <w:rPr>
          <w:szCs w:val="21"/>
        </w:rPr>
      </w:pPr>
      <w:r>
        <w:rPr>
          <w:rFonts w:hint="eastAsia"/>
          <w:szCs w:val="21"/>
        </w:rPr>
        <w:t>式中：</w:t>
      </w:r>
    </w:p>
    <w:p>
      <w:pPr>
        <w:pStyle w:val="233"/>
        <w:keepNext w:val="0"/>
        <w:keepLines w:val="0"/>
        <w:pageBreakBefore w:val="0"/>
        <w:widowControl/>
        <w:kinsoku/>
        <w:wordWrap/>
        <w:overflowPunct/>
        <w:topLinePunct w:val="0"/>
        <w:autoSpaceDE w:val="0"/>
        <w:autoSpaceDN w:val="0"/>
        <w:bidi w:val="0"/>
        <w:adjustRightInd/>
        <w:snapToGrid/>
        <w:textAlignment w:val="auto"/>
        <w:rPr>
          <w:rFonts w:hint="eastAsia" w:hAnsi="Cambria Math"/>
          <w:szCs w:val="21"/>
        </w:rPr>
      </w:pPr>
      <m:oMath>
        <m:sSub>
          <m:sSubPr>
            <m:ctrlPr>
              <w:rPr>
                <w:rFonts w:ascii="Cambria Math" w:hAnsi="Cambria Math"/>
                <w:i/>
                <w:szCs w:val="21"/>
              </w:rPr>
            </m:ctrlPr>
          </m:sSubPr>
          <m:e>
            <m:r>
              <w:rPr>
                <w:rFonts w:ascii="Cambria Math" w:hAnsi="Cambria Math"/>
                <w:szCs w:val="21"/>
              </w:rPr>
              <m:t>V</m:t>
            </m:r>
            <m:ctrlPr>
              <w:rPr>
                <w:rFonts w:ascii="Cambria Math" w:hAnsi="Cambria Math"/>
                <w:i/>
                <w:szCs w:val="21"/>
              </w:rPr>
            </m:ctrlPr>
          </m:e>
          <m:sub>
            <m:r>
              <w:rPr>
                <w:rFonts w:ascii="Cambria Math" w:hAnsi="Cambria Math"/>
                <w:szCs w:val="21"/>
              </w:rPr>
              <m:t>l</m:t>
            </m:r>
            <m:ctrlPr>
              <w:rPr>
                <w:rFonts w:ascii="Cambria Math" w:hAnsi="Cambria Math"/>
                <w:i/>
                <w:szCs w:val="21"/>
              </w:rPr>
            </m:ctrlPr>
          </m:sub>
        </m:sSub>
      </m:oMath>
      <w:r>
        <w:rPr>
          <w:rFonts w:hint="eastAsia" w:hAnsi="Cambria Math"/>
          <w:szCs w:val="21"/>
        </w:rPr>
        <w:t xml:space="preserve"> ——旅行速度；</w:t>
      </w:r>
    </w:p>
    <w:p>
      <w:pPr>
        <w:pStyle w:val="233"/>
        <w:keepNext w:val="0"/>
        <w:keepLines w:val="0"/>
        <w:pageBreakBefore w:val="0"/>
        <w:widowControl/>
        <w:kinsoku/>
        <w:wordWrap/>
        <w:overflowPunct/>
        <w:topLinePunct w:val="0"/>
        <w:autoSpaceDE w:val="0"/>
        <w:autoSpaceDN w:val="0"/>
        <w:bidi w:val="0"/>
        <w:adjustRightInd/>
        <w:snapToGrid/>
        <w:textAlignment w:val="auto"/>
        <w:rPr>
          <w:rFonts w:hint="eastAsia" w:hAnsi="Cambria Math"/>
          <w:szCs w:val="21"/>
        </w:rPr>
      </w:pPr>
      <m:oMath>
        <m:sSub>
          <m:sSubPr>
            <m:ctrlPr>
              <w:rPr>
                <w:rFonts w:ascii="Cambria Math" w:hAnsi="Cambria Math"/>
                <w:i/>
                <w:szCs w:val="21"/>
              </w:rPr>
            </m:ctrlPr>
          </m:sSubPr>
          <m:e>
            <m:r>
              <w:rPr>
                <w:rFonts w:ascii="Cambria Math" w:hAnsi="Cambria Math"/>
                <w:szCs w:val="21"/>
              </w:rPr>
              <m:t>T</m:t>
            </m:r>
            <m:ctrlPr>
              <w:rPr>
                <w:rFonts w:ascii="Cambria Math" w:hAnsi="Cambria Math"/>
                <w:i/>
                <w:szCs w:val="21"/>
              </w:rPr>
            </m:ctrlPr>
          </m:e>
          <m:sub>
            <m:r>
              <w:rPr>
                <w:rFonts w:ascii="Cambria Math" w:hAnsi="Cambria Math"/>
                <w:szCs w:val="21"/>
              </w:rPr>
              <m:t>0</m:t>
            </m:r>
            <m:ctrlPr>
              <w:rPr>
                <w:rFonts w:ascii="Cambria Math" w:hAnsi="Cambria Math"/>
                <w:i/>
                <w:szCs w:val="21"/>
              </w:rPr>
            </m:ctrlPr>
          </m:sub>
        </m:sSub>
      </m:oMath>
      <w:r>
        <w:rPr>
          <w:rFonts w:hint="eastAsia" w:hAnsi="Cambria Math"/>
          <w:szCs w:val="21"/>
        </w:rPr>
        <w:t xml:space="preserve"> ——单程中间站停站时间，单位为</w:t>
      </w:r>
      <w:r>
        <w:rPr>
          <w:rFonts w:hint="default" w:hAnsi="Cambria Math"/>
          <w:szCs w:val="21"/>
          <w:lang w:val="en-US"/>
        </w:rPr>
        <w:t>h</w:t>
      </w:r>
      <w:r>
        <w:rPr>
          <w:rFonts w:hint="eastAsia" w:hAnsi="Cambria Math"/>
          <w:szCs w:val="21"/>
        </w:rPr>
        <w:t>。</w:t>
      </w:r>
    </w:p>
    <w:p>
      <w:pPr>
        <w:pStyle w:val="80"/>
        <w:spacing w:before="120" w:after="120"/>
        <w:rPr>
          <w:rFonts w:hint="eastAsia"/>
        </w:rPr>
      </w:pPr>
      <w:bookmarkStart w:id="310" w:name="_Toc2517"/>
      <w:bookmarkStart w:id="311" w:name="_Toc23984"/>
      <w:r>
        <w:rPr>
          <w:rFonts w:hint="eastAsia"/>
        </w:rPr>
        <w:t>乘客服务</w:t>
      </w:r>
      <w:bookmarkEnd w:id="310"/>
      <w:bookmarkEnd w:id="311"/>
    </w:p>
    <w:p>
      <w:pPr>
        <w:pStyle w:val="81"/>
        <w:spacing w:before="120" w:after="120"/>
        <w:rPr>
          <w:rFonts w:hint="eastAsia"/>
        </w:rPr>
      </w:pPr>
      <w:r>
        <w:rPr>
          <w:rFonts w:hint="eastAsia"/>
        </w:rPr>
        <w:t>最大/最小发车间隔</w:t>
      </w:r>
    </w:p>
    <w:p>
      <w:pPr>
        <w:pStyle w:val="233"/>
        <w:rPr>
          <w:szCs w:val="21"/>
        </w:rPr>
      </w:pPr>
      <w:r>
        <w:rPr>
          <w:rFonts w:hint="eastAsia"/>
          <w:szCs w:val="21"/>
        </w:rPr>
        <w:t>定义：统计期内，正常运营情况下同一线路的相邻两列同向列车驶离起点站的时间间隔的最大/最小值。</w:t>
      </w:r>
    </w:p>
    <w:p>
      <w:pPr>
        <w:pStyle w:val="233"/>
        <w:rPr>
          <w:rFonts w:hint="eastAsia" w:hAnsi="Cambria Math"/>
          <w:szCs w:val="21"/>
        </w:rPr>
      </w:pPr>
      <w:r>
        <w:rPr>
          <w:rFonts w:hint="eastAsia" w:hAnsi="Cambria Math"/>
          <w:szCs w:val="21"/>
        </w:rPr>
        <w:t>单位：</w:t>
      </w:r>
      <w:r>
        <w:rPr>
          <w:rFonts w:hint="default" w:hAnsi="Cambria Math"/>
          <w:szCs w:val="21"/>
          <w:lang w:val="en-US"/>
        </w:rPr>
        <w:t>s</w:t>
      </w:r>
      <w:r>
        <w:rPr>
          <w:rFonts w:hint="eastAsia" w:hAnsi="Cambria Math"/>
          <w:szCs w:val="21"/>
        </w:rPr>
        <w:t>。</w:t>
      </w:r>
    </w:p>
    <w:p>
      <w:pPr>
        <w:pStyle w:val="81"/>
        <w:spacing w:before="120" w:after="120"/>
        <w:rPr>
          <w:rFonts w:hint="eastAsia"/>
        </w:rPr>
      </w:pPr>
      <w:r>
        <w:rPr>
          <w:rFonts w:hint="eastAsia"/>
        </w:rPr>
        <w:t>线路运营时间</w:t>
      </w:r>
    </w:p>
    <w:p>
      <w:pPr>
        <w:pStyle w:val="233"/>
        <w:keepNext w:val="0"/>
        <w:keepLines w:val="0"/>
        <w:pageBreakBefore w:val="0"/>
        <w:widowControl/>
        <w:kinsoku/>
        <w:wordWrap/>
        <w:overflowPunct/>
        <w:topLinePunct w:val="0"/>
        <w:autoSpaceDE w:val="0"/>
        <w:autoSpaceDN w:val="0"/>
        <w:bidi w:val="0"/>
        <w:adjustRightInd/>
        <w:snapToGrid/>
        <w:textAlignment w:val="auto"/>
        <w:rPr>
          <w:szCs w:val="21"/>
        </w:rPr>
      </w:pPr>
      <w:r>
        <w:rPr>
          <w:rFonts w:hint="eastAsia"/>
          <w:szCs w:val="21"/>
        </w:rPr>
        <w:t>定义：统计期内，线路日均向乘客开放运营的时间。</w:t>
      </w:r>
    </w:p>
    <w:p>
      <w:pPr>
        <w:pStyle w:val="233"/>
        <w:keepNext w:val="0"/>
        <w:keepLines w:val="0"/>
        <w:pageBreakBefore w:val="0"/>
        <w:widowControl/>
        <w:kinsoku/>
        <w:wordWrap/>
        <w:overflowPunct/>
        <w:topLinePunct w:val="0"/>
        <w:autoSpaceDE w:val="0"/>
        <w:autoSpaceDN w:val="0"/>
        <w:bidi w:val="0"/>
        <w:adjustRightInd/>
        <w:snapToGrid/>
        <w:ind w:left="420" w:leftChars="200" w:firstLine="0" w:firstLineChars="0"/>
        <w:textAlignment w:val="auto"/>
        <w:rPr>
          <w:rFonts w:hint="eastAsia" w:hAnsi="Cambria Math"/>
          <w:szCs w:val="21"/>
        </w:rPr>
      </w:pPr>
      <w:r>
        <w:rPr>
          <w:rFonts w:hint="eastAsia" w:ascii="黑体" w:hAnsi="黑体" w:eastAsia="黑体" w:cs="黑体"/>
          <w:sz w:val="18"/>
          <w:szCs w:val="18"/>
        </w:rPr>
        <w:t>注：</w:t>
      </w:r>
      <w:r>
        <w:rPr>
          <w:rFonts w:hint="eastAsia" w:hAnsi="宋体"/>
          <w:sz w:val="18"/>
          <w:szCs w:val="18"/>
        </w:rPr>
        <w:t>线路运营时间为当日第一班载客列车到达发车站的时间至最后一班列车到达终点站的时间。</w:t>
      </w:r>
    </w:p>
    <w:p>
      <w:pPr>
        <w:pStyle w:val="81"/>
        <w:spacing w:before="120" w:after="120"/>
        <w:rPr>
          <w:rFonts w:hint="eastAsia"/>
        </w:rPr>
      </w:pPr>
      <w:r>
        <w:rPr>
          <w:rFonts w:hint="eastAsia"/>
        </w:rPr>
        <w:t>列车服务可靠度</w:t>
      </w:r>
    </w:p>
    <w:p>
      <w:pPr>
        <w:pStyle w:val="233"/>
        <w:rPr>
          <w:szCs w:val="21"/>
        </w:rPr>
      </w:pPr>
      <w:r>
        <w:rPr>
          <w:rFonts w:hint="eastAsia"/>
          <w:szCs w:val="21"/>
        </w:rPr>
        <w:t>定义：统计期内，线路列车发生5min及以上延误事件之间平均行驶的运营车公里。</w:t>
      </w:r>
    </w:p>
    <w:p>
      <w:pPr>
        <w:pStyle w:val="233"/>
        <w:rPr>
          <w:rFonts w:hint="eastAsia" w:hAnsi="Cambria Math"/>
          <w:szCs w:val="21"/>
        </w:rPr>
      </w:pPr>
      <w:r>
        <w:rPr>
          <w:rFonts w:hint="eastAsia" w:hAnsi="Cambria Math"/>
          <w:szCs w:val="21"/>
        </w:rPr>
        <w:t>单位：万车公里每件。</w:t>
      </w:r>
    </w:p>
    <w:p>
      <w:pPr>
        <w:pStyle w:val="233"/>
        <w:rPr>
          <w:szCs w:val="21"/>
        </w:rPr>
      </w:pPr>
      <w:r>
        <w:rPr>
          <w:rFonts w:hint="eastAsia"/>
          <w:szCs w:val="21"/>
        </w:rPr>
        <w:t>计算方法：见式A.15。</w:t>
      </w:r>
    </w:p>
    <w:p>
      <w:pPr>
        <w:pStyle w:val="233"/>
        <w:jc w:val="right"/>
        <w:rPr>
          <w:szCs w:val="21"/>
        </w:rPr>
      </w:pPr>
      <m:oMath>
        <m:sSub>
          <m:sSubPr>
            <m:ctrlPr>
              <w:rPr>
                <w:rFonts w:ascii="Cambria Math" w:hAnsi="Cambria Math"/>
                <w:i/>
                <w:szCs w:val="21"/>
              </w:rPr>
            </m:ctrlPr>
          </m:sSubPr>
          <m:e>
            <m:r>
              <w:rPr>
                <w:rFonts w:ascii="Cambria Math" w:hAnsi="Cambria Math"/>
                <w:szCs w:val="21"/>
              </w:rPr>
              <m:t>C</m:t>
            </m:r>
            <m:ctrlPr>
              <w:rPr>
                <w:rFonts w:ascii="Cambria Math" w:hAnsi="Cambria Math"/>
                <w:i/>
                <w:szCs w:val="21"/>
              </w:rPr>
            </m:ctrlPr>
          </m:e>
          <m:sub>
            <m:r>
              <w:rPr>
                <w:rFonts w:ascii="Cambria Math" w:hAnsi="Cambria Math"/>
                <w:szCs w:val="21"/>
              </w:rPr>
              <m:t>k</m:t>
            </m:r>
            <m:ctrlPr>
              <w:rPr>
                <w:rFonts w:ascii="Cambria Math" w:hAnsi="Cambria Math"/>
                <w:i/>
                <w:szCs w:val="21"/>
              </w:rPr>
            </m:ctrlPr>
          </m:sub>
        </m:sSub>
        <m:r>
          <w:rPr>
            <w:rFonts w:ascii="Cambria Math" w:hAnsi="Cambria Math"/>
            <w:szCs w:val="21"/>
          </w:rPr>
          <m:t>=</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S</m:t>
                </m:r>
                <m:ctrlPr>
                  <w:rPr>
                    <w:rFonts w:ascii="Cambria Math" w:hAnsi="Cambria Math"/>
                    <w:i/>
                    <w:szCs w:val="21"/>
                  </w:rPr>
                </m:ctrlPr>
              </m:e>
              <m:sub>
                <m:r>
                  <w:rPr>
                    <w:rFonts w:ascii="Cambria Math" w:hAnsi="Cambria Math"/>
                    <w:szCs w:val="21"/>
                  </w:rPr>
                  <m:t>1l</m:t>
                </m:r>
                <m:ctrlPr>
                  <w:rPr>
                    <w:rFonts w:ascii="Cambria Math" w:hAnsi="Cambria Math"/>
                    <w:i/>
                    <w:szCs w:val="21"/>
                  </w:rPr>
                </m:ctrlPr>
              </m:sub>
            </m:sSub>
            <m:ctrlPr>
              <w:rPr>
                <w:rFonts w:ascii="Cambria Math" w:hAnsi="Cambria Math"/>
                <w:i/>
                <w:szCs w:val="21"/>
              </w:rPr>
            </m:ctrlPr>
          </m:num>
          <m:den>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6l</m:t>
                </m:r>
                <m:ctrlPr>
                  <w:rPr>
                    <w:rFonts w:ascii="Cambria Math" w:hAnsi="Cambria Math"/>
                    <w:i/>
                    <w:szCs w:val="21"/>
                  </w:rPr>
                </m:ctrlPr>
              </m:sub>
            </m:sSub>
            <m:ctrlPr>
              <w:rPr>
                <w:rFonts w:ascii="Cambria Math" w:hAnsi="Cambria Math"/>
                <w:i/>
                <w:szCs w:val="21"/>
              </w:rPr>
            </m:ctrlPr>
          </m:den>
        </m:f>
        <m:r>
          <w:rPr>
            <w:rFonts w:ascii="Cambria Math" w:hAnsi="Cambria Math"/>
            <w:szCs w:val="21"/>
          </w:rPr>
          <m:t>×</m:t>
        </m:r>
        <m:sSup>
          <m:sSupPr>
            <m:ctrlPr>
              <w:rPr>
                <w:rFonts w:ascii="Cambria Math" w:hAnsi="Cambria Math"/>
                <w:i/>
                <w:szCs w:val="21"/>
              </w:rPr>
            </m:ctrlPr>
          </m:sSupPr>
          <m:e>
            <m:r>
              <w:rPr>
                <w:rFonts w:ascii="Cambria Math" w:hAnsi="Cambria Math"/>
                <w:szCs w:val="21"/>
              </w:rPr>
              <m:t>10</m:t>
            </m:r>
            <m:ctrlPr>
              <w:rPr>
                <w:rFonts w:ascii="Cambria Math" w:hAnsi="Cambria Math"/>
                <w:i/>
                <w:szCs w:val="21"/>
              </w:rPr>
            </m:ctrlPr>
          </m:e>
          <m:sup>
            <m:r>
              <w:rPr>
                <w:rFonts w:ascii="Cambria Math" w:hAnsi="Cambria Math"/>
                <w:szCs w:val="21"/>
              </w:rPr>
              <m:t>−4</m:t>
            </m:r>
            <m:ctrlPr>
              <w:rPr>
                <w:rFonts w:ascii="Cambria Math" w:hAnsi="Cambria Math"/>
                <w:i/>
                <w:szCs w:val="21"/>
              </w:rPr>
            </m:ctrlPr>
          </m:sup>
        </m:sSup>
      </m:oMath>
      <w:r>
        <w:rPr>
          <w:rStyle w:val="244"/>
        </w:rPr>
        <w:t>……………………………………</w:t>
      </w:r>
      <w:r>
        <w:rPr>
          <w:rFonts w:hint="eastAsia" w:hAnsi="Cambria Math"/>
          <w:szCs w:val="21"/>
        </w:rPr>
        <w:t>（A.15）</w:t>
      </w:r>
    </w:p>
    <w:p>
      <w:pPr>
        <w:pStyle w:val="233"/>
        <w:rPr>
          <w:szCs w:val="21"/>
        </w:rPr>
      </w:pPr>
      <w:r>
        <w:rPr>
          <w:rFonts w:hint="eastAsia"/>
          <w:szCs w:val="21"/>
        </w:rPr>
        <w:t>式中：</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C</m:t>
            </m:r>
            <m:ctrlPr>
              <w:rPr>
                <w:rFonts w:ascii="Cambria Math" w:hAnsi="Cambria Math"/>
                <w:i/>
                <w:szCs w:val="21"/>
              </w:rPr>
            </m:ctrlPr>
          </m:e>
          <m:sub>
            <m:r>
              <w:rPr>
                <w:rFonts w:ascii="Cambria Math" w:hAnsi="Cambria Math"/>
                <w:szCs w:val="21"/>
              </w:rPr>
              <m:t>k</m:t>
            </m:r>
            <m:ctrlPr>
              <w:rPr>
                <w:rFonts w:ascii="Cambria Math" w:hAnsi="Cambria Math"/>
                <w:i/>
                <w:szCs w:val="21"/>
              </w:rPr>
            </m:ctrlPr>
          </m:sub>
        </m:sSub>
      </m:oMath>
      <w:r>
        <w:rPr>
          <w:rFonts w:hint="eastAsia" w:hAnsi="Cambria Math"/>
          <w:szCs w:val="21"/>
        </w:rPr>
        <w:t xml:space="preserve"> ——列车服务可靠度；</w:t>
      </w:r>
    </w:p>
    <w:p>
      <w:pPr>
        <w:pStyle w:val="233"/>
        <w:rPr>
          <w:szCs w:val="21"/>
          <w:highlight w:val="yellow"/>
        </w:rPr>
      </w:pPr>
      <m:oMath>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6l</m:t>
            </m:r>
            <m:ctrlPr>
              <w:rPr>
                <w:rFonts w:ascii="Cambria Math" w:hAnsi="Cambria Math"/>
                <w:i/>
                <w:szCs w:val="21"/>
              </w:rPr>
            </m:ctrlPr>
          </m:sub>
        </m:sSub>
      </m:oMath>
      <w:r>
        <w:rPr>
          <w:rFonts w:hint="eastAsia" w:hAnsi="Cambria Math"/>
          <w:szCs w:val="21"/>
        </w:rPr>
        <w:t xml:space="preserve"> ——5min及以上延误事件，单位为件。</w:t>
      </w:r>
    </w:p>
    <w:p>
      <w:pPr>
        <w:pStyle w:val="80"/>
        <w:spacing w:before="120" w:after="120"/>
        <w:rPr>
          <w:rFonts w:hint="eastAsia"/>
        </w:rPr>
      </w:pPr>
      <w:bookmarkStart w:id="312" w:name="_Toc2914"/>
      <w:bookmarkStart w:id="313" w:name="_Toc15210"/>
      <w:r>
        <w:rPr>
          <w:rFonts w:hint="eastAsia"/>
        </w:rPr>
        <w:t>计划开行列次</w:t>
      </w:r>
      <w:bookmarkEnd w:id="312"/>
      <w:bookmarkEnd w:id="313"/>
    </w:p>
    <w:p>
      <w:pPr>
        <w:pStyle w:val="233"/>
        <w:rPr>
          <w:szCs w:val="21"/>
        </w:rPr>
      </w:pPr>
      <w:r>
        <w:rPr>
          <w:rFonts w:hint="eastAsia"/>
          <w:szCs w:val="21"/>
        </w:rPr>
        <w:t>定义：统计期内，线路中按照运营计划开行的载客、空驶列车数之和。</w:t>
      </w:r>
    </w:p>
    <w:p>
      <w:pPr>
        <w:pStyle w:val="233"/>
        <w:rPr>
          <w:szCs w:val="21"/>
        </w:rPr>
      </w:pPr>
      <w:r>
        <w:rPr>
          <w:rFonts w:hint="eastAsia"/>
          <w:szCs w:val="21"/>
        </w:rPr>
        <w:t>单位：列次。</w:t>
      </w:r>
    </w:p>
    <w:p>
      <w:pPr>
        <w:pStyle w:val="233"/>
        <w:rPr>
          <w:szCs w:val="21"/>
        </w:rPr>
      </w:pPr>
      <w:r>
        <w:rPr>
          <w:rFonts w:hint="eastAsia"/>
          <w:szCs w:val="21"/>
        </w:rPr>
        <w:t>计算方法：见式A.16。</w:t>
      </w:r>
    </w:p>
    <w:p>
      <w:pPr>
        <w:pStyle w:val="233"/>
        <w:jc w:val="right"/>
        <w:rPr>
          <w:szCs w:val="21"/>
        </w:rPr>
      </w:pPr>
      <m:oMath>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7l</m:t>
            </m:r>
            <m:ctrlPr>
              <w:rPr>
                <w:rFonts w:ascii="Cambria Math" w:hAnsi="Cambria Math"/>
                <w:i/>
                <w:szCs w:val="21"/>
              </w:rPr>
            </m:ctrlPr>
          </m:sub>
        </m:sSub>
        <m:r>
          <w:rPr>
            <w:rFonts w:ascii="Cambria Math" w:hAnsi="Cambria Math"/>
            <w:szCs w:val="21"/>
          </w:rPr>
          <m:t>=</m:t>
        </m:r>
        <m:sSubSup>
          <m:sSubSupPr>
            <m:ctrlPr>
              <w:rPr>
                <w:rFonts w:ascii="Cambria Math" w:hAnsi="Cambria Math"/>
                <w:i/>
                <w:szCs w:val="21"/>
              </w:rPr>
            </m:ctrlPr>
          </m:sSubSupPr>
          <m:e>
            <m:r>
              <w:rPr>
                <w:rFonts w:ascii="Cambria Math" w:hAnsi="Cambria Math"/>
                <w:szCs w:val="21"/>
              </w:rPr>
              <m:t>Q</m:t>
            </m:r>
            <m:ctrlPr>
              <w:rPr>
                <w:rFonts w:ascii="Cambria Math" w:hAnsi="Cambria Math"/>
                <w:i/>
                <w:szCs w:val="21"/>
              </w:rPr>
            </m:ctrlPr>
          </m:e>
          <m:sub>
            <m:r>
              <w:rPr>
                <w:rFonts w:ascii="Cambria Math" w:hAnsi="Cambria Math"/>
                <w:szCs w:val="21"/>
              </w:rPr>
              <m:t>z</m:t>
            </m:r>
            <m:ctrlPr>
              <w:rPr>
                <w:rFonts w:ascii="Cambria Math" w:hAnsi="Cambria Math"/>
                <w:i/>
                <w:szCs w:val="21"/>
              </w:rPr>
            </m:ctrlPr>
          </m:sub>
          <m:sup>
            <m:r>
              <w:rPr>
                <w:rFonts w:ascii="Cambria Math" w:hAnsi="Cambria Math"/>
                <w:szCs w:val="21"/>
              </w:rPr>
              <m:t>'</m:t>
            </m:r>
            <m:ctrlPr>
              <w:rPr>
                <w:rFonts w:ascii="Cambria Math" w:hAnsi="Cambria Math"/>
                <w:i/>
                <w:szCs w:val="21"/>
              </w:rPr>
            </m:ctrlPr>
          </m:sup>
        </m:sSubSup>
        <m:r>
          <w:rPr>
            <w:rFonts w:ascii="Cambria Math" w:hAnsi="Cambria Math"/>
            <w:szCs w:val="21"/>
          </w:rPr>
          <m:t>+</m:t>
        </m:r>
        <m:sSubSup>
          <m:sSubSupPr>
            <m:ctrlPr>
              <w:rPr>
                <w:rFonts w:ascii="Cambria Math" w:hAnsi="Cambria Math"/>
                <w:i/>
                <w:szCs w:val="21"/>
              </w:rPr>
            </m:ctrlPr>
          </m:sSubSupPr>
          <m:e>
            <m:r>
              <w:rPr>
                <w:rFonts w:ascii="Cambria Math" w:hAnsi="Cambria Math"/>
                <w:szCs w:val="21"/>
              </w:rPr>
              <m:t>Q</m:t>
            </m:r>
            <m:ctrlPr>
              <w:rPr>
                <w:rFonts w:ascii="Cambria Math" w:hAnsi="Cambria Math"/>
                <w:i/>
                <w:szCs w:val="21"/>
              </w:rPr>
            </m:ctrlPr>
          </m:e>
          <m:sub>
            <m:r>
              <w:rPr>
                <w:rFonts w:ascii="Cambria Math" w:hAnsi="Cambria Math"/>
                <w:szCs w:val="21"/>
              </w:rPr>
              <m:t>k</m:t>
            </m:r>
            <m:ctrlPr>
              <w:rPr>
                <w:rFonts w:ascii="Cambria Math" w:hAnsi="Cambria Math"/>
                <w:i/>
                <w:szCs w:val="21"/>
              </w:rPr>
            </m:ctrlPr>
          </m:sub>
          <m:sup>
            <m:r>
              <w:rPr>
                <w:rFonts w:ascii="Cambria Math" w:hAnsi="Cambria Math"/>
                <w:szCs w:val="21"/>
              </w:rPr>
              <m:t>'</m:t>
            </m:r>
            <m:ctrlPr>
              <w:rPr>
                <w:rFonts w:ascii="Cambria Math" w:hAnsi="Cambria Math"/>
                <w:i/>
                <w:szCs w:val="21"/>
              </w:rPr>
            </m:ctrlPr>
          </m:sup>
        </m:sSubSup>
      </m:oMath>
      <w:r>
        <w:rPr>
          <w:rStyle w:val="244"/>
        </w:rPr>
        <w:t>……………………………………</w:t>
      </w:r>
      <w:r>
        <w:rPr>
          <w:rFonts w:hint="eastAsia" w:hAnsi="Cambria Math"/>
          <w:szCs w:val="21"/>
        </w:rPr>
        <w:t>（A.16）</w:t>
      </w:r>
    </w:p>
    <w:p>
      <w:pPr>
        <w:pStyle w:val="233"/>
        <w:rPr>
          <w:szCs w:val="21"/>
        </w:rPr>
      </w:pPr>
      <w:r>
        <w:rPr>
          <w:rFonts w:hint="eastAsia"/>
          <w:szCs w:val="21"/>
        </w:rPr>
        <w:t>式中：</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7l</m:t>
            </m:r>
            <m:ctrlPr>
              <w:rPr>
                <w:rFonts w:ascii="Cambria Math" w:hAnsi="Cambria Math"/>
                <w:i/>
                <w:szCs w:val="21"/>
              </w:rPr>
            </m:ctrlPr>
          </m:sub>
        </m:sSub>
      </m:oMath>
      <w:r>
        <w:rPr>
          <w:rFonts w:hint="eastAsia" w:hAnsi="Cambria Math"/>
          <w:szCs w:val="21"/>
        </w:rPr>
        <w:t xml:space="preserve"> ——线路计划开行列次；</w:t>
      </w:r>
    </w:p>
    <w:p>
      <w:pPr>
        <w:pStyle w:val="233"/>
        <w:rPr>
          <w:rFonts w:hint="eastAsia" w:hAnsi="Cambria Math"/>
          <w:szCs w:val="21"/>
        </w:rPr>
      </w:pPr>
      <m:oMath>
        <m:sSubSup>
          <m:sSubSupPr>
            <m:ctrlPr>
              <w:rPr>
                <w:rFonts w:ascii="Cambria Math" w:hAnsi="Cambria Math"/>
                <w:i/>
                <w:szCs w:val="21"/>
              </w:rPr>
            </m:ctrlPr>
          </m:sSubSupPr>
          <m:e>
            <m:r>
              <w:rPr>
                <w:rFonts w:ascii="Cambria Math" w:hAnsi="Cambria Math"/>
                <w:szCs w:val="21"/>
              </w:rPr>
              <m:t>Q</m:t>
            </m:r>
            <m:ctrlPr>
              <w:rPr>
                <w:rFonts w:ascii="Cambria Math" w:hAnsi="Cambria Math"/>
                <w:i/>
                <w:szCs w:val="21"/>
              </w:rPr>
            </m:ctrlPr>
          </m:e>
          <m:sub>
            <m:r>
              <w:rPr>
                <w:rFonts w:ascii="Cambria Math" w:hAnsi="Cambria Math"/>
                <w:szCs w:val="21"/>
              </w:rPr>
              <m:t>z</m:t>
            </m:r>
            <m:ctrlPr>
              <w:rPr>
                <w:rFonts w:ascii="Cambria Math" w:hAnsi="Cambria Math"/>
                <w:i/>
                <w:szCs w:val="21"/>
              </w:rPr>
            </m:ctrlPr>
          </m:sub>
          <m:sup>
            <m:r>
              <w:rPr>
                <w:rFonts w:ascii="Cambria Math" w:hAnsi="Cambria Math"/>
                <w:szCs w:val="21"/>
              </w:rPr>
              <m:t>'</m:t>
            </m:r>
            <m:ctrlPr>
              <w:rPr>
                <w:rFonts w:ascii="Cambria Math" w:hAnsi="Cambria Math"/>
                <w:i/>
                <w:szCs w:val="21"/>
              </w:rPr>
            </m:ctrlPr>
          </m:sup>
        </m:sSubSup>
      </m:oMath>
      <w:r>
        <w:rPr>
          <w:rFonts w:hint="eastAsia" w:hAnsi="Cambria Math"/>
          <w:szCs w:val="21"/>
        </w:rPr>
        <w:t xml:space="preserve"> ——线路计划载客列次，单位为列次；</w:t>
      </w:r>
    </w:p>
    <w:p>
      <w:pPr>
        <w:pStyle w:val="233"/>
        <w:rPr>
          <w:rFonts w:hint="eastAsia" w:hAnsi="Cambria Math"/>
          <w:szCs w:val="21"/>
        </w:rPr>
      </w:pPr>
      <m:oMath>
        <m:sSubSup>
          <m:sSubSupPr>
            <m:ctrlPr>
              <w:rPr>
                <w:rFonts w:ascii="Cambria Math" w:hAnsi="Cambria Math"/>
                <w:i/>
                <w:szCs w:val="21"/>
              </w:rPr>
            </m:ctrlPr>
          </m:sSubSupPr>
          <m:e>
            <m:r>
              <w:rPr>
                <w:rFonts w:ascii="Cambria Math" w:hAnsi="Cambria Math"/>
                <w:szCs w:val="21"/>
              </w:rPr>
              <m:t>Q</m:t>
            </m:r>
            <m:ctrlPr>
              <w:rPr>
                <w:rFonts w:ascii="Cambria Math" w:hAnsi="Cambria Math"/>
                <w:i/>
                <w:szCs w:val="21"/>
              </w:rPr>
            </m:ctrlPr>
          </m:e>
          <m:sub>
            <m:r>
              <w:rPr>
                <w:rFonts w:ascii="Cambria Math" w:hAnsi="Cambria Math"/>
                <w:szCs w:val="21"/>
              </w:rPr>
              <m:t>k</m:t>
            </m:r>
            <m:ctrlPr>
              <w:rPr>
                <w:rFonts w:ascii="Cambria Math" w:hAnsi="Cambria Math"/>
                <w:i/>
                <w:szCs w:val="21"/>
              </w:rPr>
            </m:ctrlPr>
          </m:sub>
          <m:sup>
            <m:r>
              <w:rPr>
                <w:rFonts w:ascii="Cambria Math" w:hAnsi="Cambria Math"/>
                <w:szCs w:val="21"/>
              </w:rPr>
              <m:t>'</m:t>
            </m:r>
            <m:ctrlPr>
              <w:rPr>
                <w:rFonts w:ascii="Cambria Math" w:hAnsi="Cambria Math"/>
                <w:i/>
                <w:szCs w:val="21"/>
              </w:rPr>
            </m:ctrlPr>
          </m:sup>
        </m:sSubSup>
      </m:oMath>
      <w:r>
        <w:rPr>
          <w:rFonts w:hint="eastAsia" w:hAnsi="Cambria Math"/>
          <w:szCs w:val="21"/>
        </w:rPr>
        <w:t>——线路计划空驶列次，单位为列次 。</w:t>
      </w:r>
    </w:p>
    <w:p>
      <w:pPr>
        <w:pStyle w:val="233"/>
        <w:keepNext w:val="0"/>
        <w:keepLines w:val="0"/>
        <w:pageBreakBefore w:val="0"/>
        <w:widowControl/>
        <w:kinsoku/>
        <w:wordWrap/>
        <w:overflowPunct/>
        <w:topLinePunct w:val="0"/>
        <w:autoSpaceDE w:val="0"/>
        <w:autoSpaceDN w:val="0"/>
        <w:bidi w:val="0"/>
        <w:adjustRightInd/>
        <w:snapToGrid/>
        <w:ind w:left="420" w:leftChars="200" w:firstLine="0" w:firstLineChars="0"/>
        <w:textAlignment w:val="auto"/>
        <w:rPr>
          <w:rFonts w:hint="eastAsia" w:ascii="黑体" w:hAnsi="黑体" w:eastAsia="黑体" w:cs="黑体"/>
          <w:sz w:val="18"/>
          <w:szCs w:val="18"/>
        </w:rPr>
      </w:pPr>
      <w:r>
        <w:rPr>
          <w:rFonts w:hint="eastAsia" w:ascii="黑体" w:hAnsi="黑体" w:eastAsia="黑体" w:cs="黑体"/>
          <w:sz w:val="18"/>
          <w:szCs w:val="18"/>
          <w:lang w:val="en-US" w:eastAsia="zh-CN"/>
        </w:rPr>
        <w:t>注</w:t>
      </w:r>
      <w:r>
        <w:rPr>
          <w:rFonts w:hint="default" w:ascii="黑体" w:hAnsi="黑体" w:eastAsia="黑体" w:cs="黑体"/>
          <w:sz w:val="18"/>
          <w:szCs w:val="18"/>
          <w:lang w:val="en-US" w:eastAsia="zh-CN"/>
        </w:rPr>
        <w:t>1</w:t>
      </w:r>
      <w:r>
        <w:rPr>
          <w:rFonts w:hint="eastAsia" w:ascii="黑体" w:hAnsi="黑体" w:eastAsia="黑体" w:cs="黑体"/>
          <w:sz w:val="18"/>
          <w:szCs w:val="18"/>
          <w:lang w:val="en-US" w:eastAsia="zh-CN"/>
        </w:rPr>
        <w:t>：</w:t>
      </w:r>
      <w:r>
        <w:rPr>
          <w:rFonts w:hint="eastAsia" w:ascii="宋体" w:hAnsi="宋体" w:eastAsia="宋体" w:cs="宋体"/>
          <w:sz w:val="18"/>
          <w:szCs w:val="18"/>
        </w:rPr>
        <w:t>不包括调试车和计划外的加开列次。</w:t>
      </w:r>
    </w:p>
    <w:p>
      <w:pPr>
        <w:pStyle w:val="233"/>
        <w:keepNext w:val="0"/>
        <w:keepLines w:val="0"/>
        <w:pageBreakBefore w:val="0"/>
        <w:widowControl/>
        <w:kinsoku/>
        <w:wordWrap/>
        <w:overflowPunct/>
        <w:topLinePunct w:val="0"/>
        <w:autoSpaceDE w:val="0"/>
        <w:autoSpaceDN w:val="0"/>
        <w:bidi w:val="0"/>
        <w:adjustRightInd/>
        <w:snapToGrid/>
        <w:ind w:left="420" w:leftChars="200" w:firstLine="0" w:firstLineChars="0"/>
        <w:textAlignment w:val="auto"/>
        <w:rPr>
          <w:rFonts w:hint="eastAsia" w:ascii="黑体" w:hAnsi="黑体" w:eastAsia="黑体" w:cs="黑体"/>
          <w:sz w:val="18"/>
          <w:szCs w:val="18"/>
        </w:rPr>
      </w:pPr>
      <w:r>
        <w:rPr>
          <w:rFonts w:hint="eastAsia" w:ascii="黑体" w:hAnsi="黑体" w:eastAsia="黑体" w:cs="黑体"/>
          <w:sz w:val="18"/>
          <w:szCs w:val="18"/>
          <w:lang w:val="en-US" w:eastAsia="zh-CN"/>
        </w:rPr>
        <w:t>注</w:t>
      </w:r>
      <w:r>
        <w:rPr>
          <w:rFonts w:hint="default" w:ascii="黑体" w:hAnsi="黑体" w:eastAsia="黑体" w:cs="黑体"/>
          <w:sz w:val="18"/>
          <w:szCs w:val="18"/>
          <w:lang w:val="en-US" w:eastAsia="zh-CN"/>
        </w:rPr>
        <w:t>2</w:t>
      </w:r>
      <w:r>
        <w:rPr>
          <w:rFonts w:hint="eastAsia" w:ascii="黑体" w:hAnsi="黑体" w:eastAsia="黑体" w:cs="黑体"/>
          <w:sz w:val="18"/>
          <w:szCs w:val="18"/>
          <w:lang w:val="en-US" w:eastAsia="zh-CN"/>
        </w:rPr>
        <w:t>：</w:t>
      </w:r>
      <w:r>
        <w:rPr>
          <w:rFonts w:hint="eastAsia" w:ascii="宋体" w:hAnsi="宋体" w:eastAsia="宋体" w:cs="宋体"/>
          <w:sz w:val="18"/>
          <w:szCs w:val="18"/>
        </w:rPr>
        <w:t>计划开行列次包括计划载客列次和计划空驶列次两部分，根据每日执行运行图中所对应的列车计划统计。</w:t>
      </w:r>
    </w:p>
    <w:p>
      <w:pPr>
        <w:pStyle w:val="80"/>
        <w:spacing w:before="120" w:after="120"/>
        <w:rPr>
          <w:rFonts w:hint="eastAsia"/>
        </w:rPr>
      </w:pPr>
      <w:bookmarkStart w:id="314" w:name="_Toc468"/>
      <w:bookmarkStart w:id="315" w:name="_Toc32285"/>
      <w:r>
        <w:rPr>
          <w:rFonts w:hint="eastAsia"/>
        </w:rPr>
        <w:t>计划兑现列次</w:t>
      </w:r>
      <w:bookmarkEnd w:id="314"/>
      <w:bookmarkEnd w:id="315"/>
    </w:p>
    <w:p>
      <w:pPr>
        <w:pStyle w:val="233"/>
        <w:rPr>
          <w:szCs w:val="21"/>
        </w:rPr>
      </w:pPr>
      <w:r>
        <w:rPr>
          <w:rFonts w:hint="eastAsia"/>
          <w:szCs w:val="21"/>
        </w:rPr>
        <w:t>定义：统计期内，线路中按照列车运行图（运行时刻表）实际开行的计划列车数。</w:t>
      </w:r>
    </w:p>
    <w:p>
      <w:pPr>
        <w:pStyle w:val="233"/>
        <w:rPr>
          <w:rFonts w:hint="eastAsia" w:hAnsi="Cambria Math"/>
          <w:szCs w:val="21"/>
        </w:rPr>
      </w:pPr>
      <w:r>
        <w:rPr>
          <w:rFonts w:hint="eastAsia"/>
          <w:szCs w:val="21"/>
        </w:rPr>
        <w:t>单位：列次。</w:t>
      </w:r>
    </w:p>
    <w:p>
      <w:pPr>
        <w:pStyle w:val="233"/>
        <w:keepNext w:val="0"/>
        <w:keepLines w:val="0"/>
        <w:pageBreakBefore w:val="0"/>
        <w:widowControl/>
        <w:kinsoku/>
        <w:wordWrap/>
        <w:overflowPunct/>
        <w:topLinePunct w:val="0"/>
        <w:autoSpaceDE w:val="0"/>
        <w:autoSpaceDN w:val="0"/>
        <w:bidi w:val="0"/>
        <w:adjustRightInd/>
        <w:snapToGrid/>
        <w:ind w:left="420" w:leftChars="200" w:firstLine="0" w:firstLineChars="0"/>
        <w:textAlignment w:val="auto"/>
        <w:rPr>
          <w:rFonts w:hint="eastAsia" w:ascii="宋体" w:hAnsi="宋体" w:eastAsia="宋体" w:cs="宋体"/>
          <w:sz w:val="18"/>
          <w:szCs w:val="18"/>
          <w:lang w:val="en-US" w:eastAsia="zh-CN"/>
        </w:rPr>
      </w:pPr>
      <w:r>
        <w:rPr>
          <w:rFonts w:hint="eastAsia" w:ascii="黑体" w:hAnsi="黑体" w:eastAsia="黑体" w:cs="黑体"/>
          <w:sz w:val="18"/>
          <w:szCs w:val="18"/>
          <w:lang w:val="en-US" w:eastAsia="zh-CN"/>
        </w:rPr>
        <w:t>注</w:t>
      </w:r>
      <w:r>
        <w:rPr>
          <w:rFonts w:hint="default" w:ascii="黑体" w:hAnsi="黑体" w:eastAsia="黑体" w:cs="黑体"/>
          <w:sz w:val="18"/>
          <w:szCs w:val="18"/>
          <w:lang w:val="en-US" w:eastAsia="zh-CN"/>
        </w:rPr>
        <w:t>1</w:t>
      </w:r>
      <w:r>
        <w:rPr>
          <w:rFonts w:hint="eastAsia" w:ascii="黑体" w:hAnsi="黑体" w:eastAsia="黑体" w:cs="黑体"/>
          <w:sz w:val="18"/>
          <w:szCs w:val="18"/>
          <w:lang w:val="en-US" w:eastAsia="zh-CN"/>
        </w:rPr>
        <w:t>：</w:t>
      </w:r>
      <w:r>
        <w:rPr>
          <w:rFonts w:hint="eastAsia" w:ascii="宋体" w:hAnsi="宋体" w:eastAsia="宋体" w:cs="宋体"/>
          <w:sz w:val="18"/>
          <w:szCs w:val="18"/>
          <w:lang w:val="en-US" w:eastAsia="zh-CN"/>
        </w:rPr>
        <w:t>列车按列车运行图规定的始发、终到站完成完整的运行交路时，视为计划兑现开行。</w:t>
      </w:r>
    </w:p>
    <w:p>
      <w:pPr>
        <w:pStyle w:val="233"/>
        <w:keepNext w:val="0"/>
        <w:keepLines w:val="0"/>
        <w:pageBreakBefore w:val="0"/>
        <w:widowControl/>
        <w:kinsoku/>
        <w:wordWrap/>
        <w:overflowPunct/>
        <w:topLinePunct w:val="0"/>
        <w:autoSpaceDE w:val="0"/>
        <w:autoSpaceDN w:val="0"/>
        <w:bidi w:val="0"/>
        <w:adjustRightInd/>
        <w:snapToGrid/>
        <w:ind w:left="420" w:leftChars="200" w:firstLine="0" w:firstLineChars="0"/>
        <w:textAlignment w:val="auto"/>
        <w:rPr>
          <w:rFonts w:hint="eastAsia" w:ascii="宋体" w:hAnsi="宋体" w:eastAsia="宋体" w:cs="宋体"/>
          <w:sz w:val="18"/>
          <w:szCs w:val="18"/>
          <w:lang w:val="en-US" w:eastAsia="zh-CN"/>
        </w:rPr>
      </w:pPr>
      <w:r>
        <w:rPr>
          <w:rFonts w:hint="eastAsia" w:ascii="黑体" w:hAnsi="黑体" w:eastAsia="黑体" w:cs="黑体"/>
          <w:sz w:val="18"/>
          <w:szCs w:val="18"/>
          <w:lang w:val="en-US" w:eastAsia="zh-CN"/>
        </w:rPr>
        <w:t>注</w:t>
      </w:r>
      <w:r>
        <w:rPr>
          <w:rFonts w:hint="default" w:ascii="黑体" w:hAnsi="黑体" w:eastAsia="黑体" w:cs="黑体"/>
          <w:sz w:val="18"/>
          <w:szCs w:val="18"/>
          <w:lang w:val="en-US" w:eastAsia="zh-CN"/>
        </w:rPr>
        <w:t>2</w:t>
      </w:r>
      <w:r>
        <w:rPr>
          <w:rFonts w:hint="eastAsia" w:ascii="黑体" w:hAnsi="黑体" w:eastAsia="黑体" w:cs="黑体"/>
          <w:sz w:val="18"/>
          <w:szCs w:val="18"/>
          <w:lang w:val="en-US" w:eastAsia="zh-CN"/>
        </w:rPr>
        <w:t>：</w:t>
      </w:r>
      <w:r>
        <w:rPr>
          <w:rFonts w:hint="eastAsia" w:ascii="宋体" w:hAnsi="宋体" w:eastAsia="宋体" w:cs="宋体"/>
          <w:sz w:val="18"/>
          <w:szCs w:val="18"/>
          <w:lang w:val="en-US" w:eastAsia="zh-CN"/>
        </w:rPr>
        <w:t>中途折返（含具有存车能力的停车线开出的列车）的载客列车视为计划兑现开行。</w:t>
      </w:r>
    </w:p>
    <w:p>
      <w:pPr>
        <w:pStyle w:val="233"/>
        <w:keepNext w:val="0"/>
        <w:keepLines w:val="0"/>
        <w:pageBreakBefore w:val="0"/>
        <w:widowControl/>
        <w:kinsoku/>
        <w:wordWrap/>
        <w:overflowPunct/>
        <w:topLinePunct w:val="0"/>
        <w:autoSpaceDE w:val="0"/>
        <w:autoSpaceDN w:val="0"/>
        <w:bidi w:val="0"/>
        <w:adjustRightInd/>
        <w:snapToGrid/>
        <w:ind w:left="420" w:leftChars="200" w:firstLine="0" w:firstLineChars="0"/>
        <w:textAlignment w:val="auto"/>
        <w:rPr>
          <w:rFonts w:hint="eastAsia" w:ascii="宋体" w:hAnsi="宋体" w:eastAsia="宋体" w:cs="宋体"/>
          <w:sz w:val="18"/>
          <w:szCs w:val="18"/>
          <w:lang w:val="en-US" w:eastAsia="zh-CN"/>
        </w:rPr>
      </w:pPr>
      <w:r>
        <w:rPr>
          <w:rFonts w:hint="eastAsia" w:ascii="黑体" w:hAnsi="黑体" w:eastAsia="黑体" w:cs="黑体"/>
          <w:sz w:val="18"/>
          <w:szCs w:val="18"/>
          <w:lang w:val="en-US" w:eastAsia="zh-CN"/>
        </w:rPr>
        <w:t>注</w:t>
      </w:r>
      <w:r>
        <w:rPr>
          <w:rFonts w:hint="default" w:ascii="黑体" w:hAnsi="黑体" w:eastAsia="黑体" w:cs="黑体"/>
          <w:sz w:val="18"/>
          <w:szCs w:val="18"/>
          <w:lang w:val="en-US" w:eastAsia="zh-CN"/>
        </w:rPr>
        <w:t>3</w:t>
      </w:r>
      <w:r>
        <w:rPr>
          <w:rFonts w:hint="eastAsia" w:ascii="黑体" w:hAnsi="黑体" w:eastAsia="黑体" w:cs="黑体"/>
          <w:sz w:val="18"/>
          <w:szCs w:val="18"/>
          <w:lang w:val="en-US" w:eastAsia="zh-CN"/>
        </w:rPr>
        <w:t>：</w:t>
      </w:r>
      <w:r>
        <w:rPr>
          <w:rFonts w:hint="eastAsia" w:ascii="宋体" w:hAnsi="宋体" w:eastAsia="宋体" w:cs="宋体"/>
          <w:sz w:val="18"/>
          <w:szCs w:val="18"/>
          <w:lang w:val="en-US" w:eastAsia="zh-CN"/>
        </w:rPr>
        <w:t>载客列车中途改变列车性质，变更前的列车视为计划兑现开行。</w:t>
      </w:r>
    </w:p>
    <w:p>
      <w:pPr>
        <w:pStyle w:val="233"/>
        <w:keepNext w:val="0"/>
        <w:keepLines w:val="0"/>
        <w:pageBreakBefore w:val="0"/>
        <w:widowControl/>
        <w:kinsoku/>
        <w:wordWrap/>
        <w:overflowPunct/>
        <w:topLinePunct w:val="0"/>
        <w:autoSpaceDE w:val="0"/>
        <w:autoSpaceDN w:val="0"/>
        <w:bidi w:val="0"/>
        <w:adjustRightInd/>
        <w:snapToGrid/>
        <w:ind w:left="420" w:leftChars="200" w:firstLine="0" w:firstLineChars="0"/>
        <w:textAlignment w:val="auto"/>
        <w:rPr>
          <w:rFonts w:hint="eastAsia" w:ascii="宋体" w:hAnsi="宋体" w:eastAsia="宋体" w:cs="宋体"/>
          <w:sz w:val="18"/>
          <w:szCs w:val="18"/>
          <w:lang w:val="en-US" w:eastAsia="zh-CN"/>
        </w:rPr>
      </w:pPr>
      <w:r>
        <w:rPr>
          <w:rFonts w:hint="eastAsia" w:ascii="黑体" w:hAnsi="黑体" w:eastAsia="黑体" w:cs="黑体"/>
          <w:sz w:val="18"/>
          <w:szCs w:val="18"/>
          <w:lang w:val="en-US" w:eastAsia="zh-CN"/>
        </w:rPr>
        <w:t>注</w:t>
      </w:r>
      <w:r>
        <w:rPr>
          <w:rFonts w:hint="default" w:ascii="黑体" w:hAnsi="黑体" w:eastAsia="黑体" w:cs="黑体"/>
          <w:sz w:val="18"/>
          <w:szCs w:val="18"/>
          <w:lang w:val="en-US" w:eastAsia="zh-CN"/>
        </w:rPr>
        <w:t>4</w:t>
      </w:r>
      <w:r>
        <w:rPr>
          <w:rFonts w:hint="eastAsia" w:ascii="黑体" w:hAnsi="黑体" w:eastAsia="黑体" w:cs="黑体"/>
          <w:sz w:val="18"/>
          <w:szCs w:val="18"/>
          <w:lang w:val="en-US" w:eastAsia="zh-CN"/>
        </w:rPr>
        <w:t>：</w:t>
      </w:r>
      <w:r>
        <w:rPr>
          <w:rFonts w:hint="eastAsia" w:ascii="宋体" w:hAnsi="宋体" w:eastAsia="宋体" w:cs="宋体"/>
          <w:sz w:val="18"/>
          <w:szCs w:val="18"/>
          <w:lang w:val="en-US" w:eastAsia="zh-CN"/>
        </w:rPr>
        <w:t>同性质列车中途变更列车车次，实际开行列次只按初次变更前的列车车次统计为1列。</w:t>
      </w:r>
    </w:p>
    <w:p>
      <w:pPr>
        <w:pStyle w:val="233"/>
        <w:keepNext w:val="0"/>
        <w:keepLines w:val="0"/>
        <w:pageBreakBefore w:val="0"/>
        <w:widowControl/>
        <w:kinsoku/>
        <w:wordWrap/>
        <w:overflowPunct/>
        <w:topLinePunct w:val="0"/>
        <w:autoSpaceDE w:val="0"/>
        <w:autoSpaceDN w:val="0"/>
        <w:bidi w:val="0"/>
        <w:adjustRightInd/>
        <w:snapToGrid/>
        <w:ind w:left="870" w:leftChars="200" w:hanging="450" w:hangingChars="250"/>
        <w:textAlignment w:val="auto"/>
        <w:rPr>
          <w:rFonts w:hint="eastAsia" w:ascii="宋体" w:hAnsi="宋体" w:eastAsia="宋体" w:cs="宋体"/>
          <w:sz w:val="18"/>
          <w:szCs w:val="18"/>
          <w:lang w:val="en-US" w:eastAsia="zh-CN"/>
        </w:rPr>
      </w:pPr>
      <w:r>
        <w:rPr>
          <w:rFonts w:hint="eastAsia" w:ascii="黑体" w:hAnsi="黑体" w:eastAsia="黑体" w:cs="黑体"/>
          <w:sz w:val="18"/>
          <w:szCs w:val="18"/>
          <w:lang w:val="en-US" w:eastAsia="zh-CN"/>
        </w:rPr>
        <w:t>注</w:t>
      </w:r>
      <w:r>
        <w:rPr>
          <w:rFonts w:hint="default" w:ascii="黑体" w:hAnsi="黑体" w:eastAsia="黑体" w:cs="黑体"/>
          <w:sz w:val="18"/>
          <w:szCs w:val="18"/>
          <w:lang w:val="en-US" w:eastAsia="zh-CN"/>
        </w:rPr>
        <w:t>5</w:t>
      </w:r>
      <w:r>
        <w:rPr>
          <w:rFonts w:hint="eastAsia" w:ascii="黑体" w:hAnsi="黑体" w:eastAsia="黑体" w:cs="黑体"/>
          <w:sz w:val="18"/>
          <w:szCs w:val="18"/>
          <w:lang w:val="en-US" w:eastAsia="zh-CN"/>
        </w:rPr>
        <w:t>：</w:t>
      </w:r>
      <w:r>
        <w:rPr>
          <w:rFonts w:hint="eastAsia" w:ascii="宋体" w:hAnsi="宋体" w:eastAsia="宋体" w:cs="宋体"/>
          <w:sz w:val="18"/>
          <w:szCs w:val="18"/>
          <w:lang w:val="en-US" w:eastAsia="zh-CN"/>
        </w:rPr>
        <w:t>实际开行列次包括实际载客列次和实际空驶列次两部分，当出现列车行驶一个单程既有载客又有空驶时，统计为载客列次。</w:t>
      </w:r>
    </w:p>
    <w:p>
      <w:pPr>
        <w:pStyle w:val="80"/>
        <w:spacing w:before="120" w:after="120"/>
        <w:rPr>
          <w:rFonts w:hint="eastAsia"/>
        </w:rPr>
      </w:pPr>
      <w:bookmarkStart w:id="316" w:name="_Toc20880"/>
      <w:bookmarkStart w:id="317" w:name="_Toc22813"/>
      <w:r>
        <w:rPr>
          <w:rFonts w:hint="eastAsia"/>
        </w:rPr>
        <w:t>加开列次</w:t>
      </w:r>
      <w:bookmarkEnd w:id="316"/>
      <w:bookmarkEnd w:id="317"/>
    </w:p>
    <w:p>
      <w:pPr>
        <w:pStyle w:val="233"/>
        <w:rPr>
          <w:szCs w:val="21"/>
        </w:rPr>
      </w:pPr>
      <w:r>
        <w:rPr>
          <w:rFonts w:hint="eastAsia"/>
          <w:szCs w:val="21"/>
        </w:rPr>
        <w:t>定义：统计期内，线路根据实际需要不在计划运行图内而增加开行的总列次。</w:t>
      </w:r>
    </w:p>
    <w:p>
      <w:pPr>
        <w:pStyle w:val="233"/>
        <w:rPr>
          <w:szCs w:val="21"/>
        </w:rPr>
      </w:pPr>
      <w:r>
        <w:rPr>
          <w:rFonts w:hint="eastAsia"/>
          <w:szCs w:val="21"/>
        </w:rPr>
        <w:t>单位：列次。</w:t>
      </w:r>
    </w:p>
    <w:p>
      <w:pPr>
        <w:pStyle w:val="233"/>
        <w:rPr>
          <w:szCs w:val="21"/>
        </w:rPr>
      </w:pPr>
      <w:r>
        <w:rPr>
          <w:rFonts w:hint="eastAsia"/>
          <w:szCs w:val="21"/>
        </w:rPr>
        <w:t>计算方法：见式A.17。</w:t>
      </w:r>
    </w:p>
    <w:p>
      <w:pPr>
        <w:pStyle w:val="233"/>
        <w:jc w:val="right"/>
        <w:rPr>
          <w:szCs w:val="21"/>
        </w:rPr>
      </w:pPr>
      <m:oMath>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8l</m:t>
            </m:r>
            <m:ctrlPr>
              <w:rPr>
                <w:rFonts w:ascii="Cambria Math" w:hAnsi="Cambria Math"/>
                <w:i/>
                <w:szCs w:val="21"/>
              </w:rPr>
            </m:ctrlP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zj</m:t>
            </m:r>
            <m:ctrlPr>
              <w:rPr>
                <w:rFonts w:ascii="Cambria Math" w:hAnsi="Cambria Math"/>
                <w:i/>
                <w:szCs w:val="21"/>
              </w:rPr>
            </m:ctrlP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kj</m:t>
            </m:r>
            <m:ctrlPr>
              <w:rPr>
                <w:rFonts w:ascii="Cambria Math" w:hAnsi="Cambria Math"/>
                <w:i/>
                <w:szCs w:val="21"/>
              </w:rPr>
            </m:ctrlPr>
          </m:sub>
        </m:sSub>
      </m:oMath>
      <w:r>
        <w:rPr>
          <w:rStyle w:val="244"/>
        </w:rPr>
        <w:t>……………………………………</w:t>
      </w:r>
      <w:r>
        <w:rPr>
          <w:rFonts w:hint="eastAsia" w:hAnsi="Cambria Math"/>
          <w:szCs w:val="21"/>
        </w:rPr>
        <w:t>（A.17）</w:t>
      </w:r>
    </w:p>
    <w:p>
      <w:pPr>
        <w:pStyle w:val="233"/>
        <w:rPr>
          <w:szCs w:val="21"/>
        </w:rPr>
      </w:pPr>
      <w:r>
        <w:rPr>
          <w:rFonts w:hint="eastAsia"/>
          <w:szCs w:val="21"/>
        </w:rPr>
        <w:t>式中：</w:t>
      </w:r>
    </w:p>
    <w:p>
      <w:pPr>
        <w:pStyle w:val="233"/>
        <w:rPr>
          <w:szCs w:val="21"/>
        </w:rPr>
      </w:pPr>
      <m:oMath>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8</m:t>
            </m:r>
            <m:ctrlPr>
              <w:rPr>
                <w:rFonts w:ascii="Cambria Math" w:hAnsi="Cambria Math"/>
                <w:i/>
                <w:szCs w:val="21"/>
              </w:rPr>
            </m:ctrlPr>
          </m:sub>
        </m:sSub>
      </m:oMath>
      <w:r>
        <w:rPr>
          <w:rFonts w:hint="eastAsia" w:hAnsi="Cambria Math"/>
          <w:szCs w:val="21"/>
        </w:rPr>
        <w:t xml:space="preserve"> ——线路加开列次；</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zj</m:t>
            </m:r>
            <m:ctrlPr>
              <w:rPr>
                <w:rFonts w:ascii="Cambria Math" w:hAnsi="Cambria Math"/>
                <w:i/>
                <w:szCs w:val="21"/>
              </w:rPr>
            </m:ctrlPr>
          </m:sub>
        </m:sSub>
      </m:oMath>
      <w:r>
        <w:rPr>
          <w:rFonts w:hint="eastAsia" w:hAnsi="Cambria Math"/>
          <w:szCs w:val="21"/>
        </w:rPr>
        <w:t xml:space="preserve"> ——线路加开载客列次，单位为列次；</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kj</m:t>
            </m:r>
            <m:ctrlPr>
              <w:rPr>
                <w:rFonts w:ascii="Cambria Math" w:hAnsi="Cambria Math"/>
                <w:i/>
                <w:szCs w:val="21"/>
              </w:rPr>
            </m:ctrlPr>
          </m:sub>
        </m:sSub>
      </m:oMath>
      <w:r>
        <w:rPr>
          <w:rFonts w:hint="eastAsia" w:hAnsi="Cambria Math"/>
          <w:szCs w:val="21"/>
        </w:rPr>
        <w:t xml:space="preserve"> ——线路加开空驶列次，单位为列次。</w:t>
      </w:r>
    </w:p>
    <w:p>
      <w:pPr>
        <w:pStyle w:val="80"/>
        <w:spacing w:before="120" w:after="120"/>
        <w:rPr>
          <w:rFonts w:hint="eastAsia"/>
        </w:rPr>
      </w:pPr>
      <w:bookmarkStart w:id="318" w:name="_Toc14089"/>
      <w:bookmarkStart w:id="319" w:name="_Toc24462"/>
      <w:r>
        <w:rPr>
          <w:rFonts w:hint="eastAsia"/>
        </w:rPr>
        <w:t>停运列次</w:t>
      </w:r>
      <w:bookmarkEnd w:id="318"/>
      <w:bookmarkEnd w:id="319"/>
    </w:p>
    <w:p>
      <w:pPr>
        <w:pStyle w:val="233"/>
        <w:rPr>
          <w:szCs w:val="21"/>
        </w:rPr>
      </w:pPr>
      <w:r>
        <w:rPr>
          <w:rFonts w:hint="eastAsia"/>
          <w:szCs w:val="21"/>
        </w:rPr>
        <w:t>定义：统计期内，在运营时间因突发事件，临时取消线路运行图中某些列车的开行次数。</w:t>
      </w:r>
    </w:p>
    <w:p>
      <w:pPr>
        <w:pStyle w:val="233"/>
        <w:rPr>
          <w:szCs w:val="21"/>
        </w:rPr>
      </w:pPr>
      <w:r>
        <w:rPr>
          <w:rFonts w:hint="eastAsia"/>
          <w:szCs w:val="21"/>
        </w:rPr>
        <w:t>单位：列次。</w:t>
      </w:r>
    </w:p>
    <w:p>
      <w:pPr>
        <w:pStyle w:val="233"/>
        <w:rPr>
          <w:szCs w:val="21"/>
        </w:rPr>
      </w:pPr>
      <w:r>
        <w:rPr>
          <w:rFonts w:hint="eastAsia"/>
          <w:szCs w:val="21"/>
        </w:rPr>
        <w:t>计算方法：见式A.18。</w:t>
      </w:r>
    </w:p>
    <w:p>
      <w:pPr>
        <w:pStyle w:val="233"/>
        <w:jc w:val="right"/>
        <w:rPr>
          <w:szCs w:val="21"/>
        </w:rPr>
      </w:pPr>
      <m:oMath>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9l</m:t>
            </m:r>
            <m:ctrlPr>
              <w:rPr>
                <w:rFonts w:ascii="Cambria Math" w:hAnsi="Cambria Math"/>
                <w:i/>
                <w:szCs w:val="21"/>
              </w:rPr>
            </m:ctrlP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7l</m:t>
            </m:r>
            <m:ctrlPr>
              <w:rPr>
                <w:rFonts w:ascii="Cambria Math" w:hAnsi="Cambria Math"/>
                <w:i/>
                <w:szCs w:val="21"/>
              </w:rPr>
            </m:ctrlP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10l</m:t>
            </m:r>
            <m:ctrlPr>
              <w:rPr>
                <w:rFonts w:ascii="Cambria Math" w:hAnsi="Cambria Math"/>
                <w:i/>
                <w:szCs w:val="21"/>
              </w:rPr>
            </m:ctrlPr>
          </m:sub>
        </m:sSub>
      </m:oMath>
      <w:r>
        <w:rPr>
          <w:rStyle w:val="244"/>
        </w:rPr>
        <w:t>……………………………………</w:t>
      </w:r>
      <w:r>
        <w:rPr>
          <w:rFonts w:hint="eastAsia" w:hAnsi="Cambria Math"/>
          <w:szCs w:val="21"/>
        </w:rPr>
        <w:t>（A.18）</w:t>
      </w:r>
    </w:p>
    <w:p>
      <w:pPr>
        <w:pStyle w:val="233"/>
        <w:rPr>
          <w:szCs w:val="21"/>
        </w:rPr>
      </w:pPr>
      <w:r>
        <w:rPr>
          <w:rFonts w:hint="eastAsia"/>
          <w:szCs w:val="21"/>
        </w:rPr>
        <w:t>式中：</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9l</m:t>
            </m:r>
            <m:ctrlPr>
              <w:rPr>
                <w:rFonts w:ascii="Cambria Math" w:hAnsi="Cambria Math"/>
                <w:i/>
                <w:szCs w:val="21"/>
              </w:rPr>
            </m:ctrlPr>
          </m:sub>
        </m:sSub>
      </m:oMath>
      <w:r>
        <w:rPr>
          <w:rFonts w:hint="eastAsia" w:hAnsi="Cambria Math"/>
          <w:szCs w:val="21"/>
        </w:rPr>
        <w:t xml:space="preserve"> ——线路停运列次；</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10l</m:t>
            </m:r>
            <m:ctrlPr>
              <w:rPr>
                <w:rFonts w:ascii="Cambria Math" w:hAnsi="Cambria Math"/>
                <w:i/>
                <w:szCs w:val="21"/>
              </w:rPr>
            </m:ctrlPr>
          </m:sub>
        </m:sSub>
      </m:oMath>
      <w:r>
        <w:rPr>
          <w:rFonts w:hint="eastAsia" w:hAnsi="Cambria Math"/>
          <w:szCs w:val="21"/>
        </w:rPr>
        <w:t xml:space="preserve"> ——线路计划兑现列次。</w:t>
      </w:r>
    </w:p>
    <w:p>
      <w:pPr>
        <w:pStyle w:val="80"/>
        <w:spacing w:before="120" w:after="120"/>
        <w:rPr>
          <w:rFonts w:hint="eastAsia"/>
        </w:rPr>
      </w:pPr>
      <w:bookmarkStart w:id="320" w:name="_Toc4054"/>
      <w:bookmarkStart w:id="321" w:name="_Toc12999"/>
      <w:r>
        <w:rPr>
          <w:rFonts w:hint="eastAsia"/>
        </w:rPr>
        <w:t>晚点列次</w:t>
      </w:r>
      <w:bookmarkEnd w:id="320"/>
      <w:bookmarkEnd w:id="321"/>
    </w:p>
    <w:p>
      <w:pPr>
        <w:pStyle w:val="233"/>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szCs w:val="21"/>
        </w:rPr>
      </w:pPr>
      <w:r>
        <w:rPr>
          <w:rFonts w:hint="eastAsia"/>
          <w:szCs w:val="21"/>
        </w:rPr>
        <w:t>定义：统计期内，列车运行图（时刻表）在执行过程中，列车在始发站出发或到达终到站的时刻与列车运行图（时刻表）计划时刻相比大于或等于规定的晚点统计标准时均记为晚点</w:t>
      </w:r>
      <w:r>
        <w:rPr>
          <w:rFonts w:hint="eastAsia"/>
          <w:szCs w:val="21"/>
          <w:lang w:eastAsia="zh-CN"/>
        </w:rPr>
        <w:t>，</w:t>
      </w:r>
      <w:r>
        <w:rPr>
          <w:rFonts w:hint="eastAsia"/>
          <w:szCs w:val="21"/>
        </w:rPr>
        <w:t>可分</w:t>
      </w:r>
      <w:r>
        <w:rPr>
          <w:rFonts w:hint="eastAsia"/>
          <w:szCs w:val="21"/>
          <w:lang w:eastAsia="zh-CN"/>
        </w:rPr>
        <w:t>为</w:t>
      </w:r>
      <w:r>
        <w:rPr>
          <w:rFonts w:hint="eastAsia"/>
          <w:szCs w:val="21"/>
        </w:rPr>
        <w:t>始发晚点和到达晚点。</w:t>
      </w:r>
    </w:p>
    <w:p>
      <w:pPr>
        <w:pStyle w:val="233"/>
        <w:rPr>
          <w:szCs w:val="21"/>
        </w:rPr>
      </w:pPr>
      <w:r>
        <w:rPr>
          <w:rFonts w:hint="eastAsia"/>
          <w:szCs w:val="21"/>
        </w:rPr>
        <w:t>单位：列次。</w:t>
      </w:r>
    </w:p>
    <w:p>
      <w:pPr>
        <w:pStyle w:val="233"/>
        <w:keepNext w:val="0"/>
        <w:keepLines w:val="0"/>
        <w:pageBreakBefore w:val="0"/>
        <w:widowControl/>
        <w:kinsoku/>
        <w:wordWrap/>
        <w:overflowPunct/>
        <w:topLinePunct w:val="0"/>
        <w:autoSpaceDE w:val="0"/>
        <w:autoSpaceDN w:val="0"/>
        <w:bidi w:val="0"/>
        <w:adjustRightInd/>
        <w:snapToGrid/>
        <w:ind w:left="780" w:leftChars="200" w:hanging="360" w:hangingChars="200"/>
        <w:textAlignment w:val="auto"/>
        <w:rPr>
          <w:rFonts w:hint="eastAsia" w:ascii="宋体" w:hAnsi="宋体" w:eastAsia="宋体" w:cs="宋体"/>
          <w:sz w:val="18"/>
          <w:szCs w:val="18"/>
          <w:lang w:val="en-US" w:eastAsia="zh-CN"/>
        </w:rPr>
      </w:pPr>
      <w:r>
        <w:rPr>
          <w:rFonts w:hint="eastAsia" w:ascii="黑体" w:hAnsi="黑体" w:eastAsia="黑体" w:cs="黑体"/>
          <w:sz w:val="18"/>
          <w:szCs w:val="18"/>
          <w:lang w:val="en-US" w:eastAsia="zh-CN"/>
        </w:rPr>
        <w:t>注1：</w:t>
      </w:r>
      <w:r>
        <w:rPr>
          <w:rFonts w:hint="eastAsia" w:ascii="宋体" w:hAnsi="宋体" w:eastAsia="宋体" w:cs="宋体"/>
          <w:sz w:val="18"/>
          <w:szCs w:val="18"/>
          <w:lang w:val="en-US" w:eastAsia="zh-CN"/>
        </w:rPr>
        <w:t>加开列次不计晚点。</w:t>
      </w:r>
    </w:p>
    <w:p>
      <w:pPr>
        <w:pStyle w:val="233"/>
        <w:keepNext w:val="0"/>
        <w:keepLines w:val="0"/>
        <w:pageBreakBefore w:val="0"/>
        <w:widowControl/>
        <w:kinsoku/>
        <w:wordWrap/>
        <w:overflowPunct/>
        <w:topLinePunct w:val="0"/>
        <w:autoSpaceDE w:val="0"/>
        <w:autoSpaceDN w:val="0"/>
        <w:bidi w:val="0"/>
        <w:adjustRightInd/>
        <w:snapToGrid/>
        <w:ind w:left="870" w:leftChars="200" w:hanging="450" w:hangingChars="250"/>
        <w:textAlignment w:val="auto"/>
        <w:rPr>
          <w:rFonts w:hint="eastAsia" w:ascii="宋体" w:hAnsi="宋体" w:eastAsia="宋体" w:cs="宋体"/>
          <w:sz w:val="18"/>
          <w:szCs w:val="18"/>
          <w:lang w:val="en-US" w:eastAsia="zh-CN"/>
        </w:rPr>
      </w:pPr>
      <w:r>
        <w:rPr>
          <w:rFonts w:hint="eastAsia" w:ascii="黑体" w:hAnsi="黑体" w:eastAsia="黑体" w:cs="黑体"/>
          <w:sz w:val="18"/>
          <w:szCs w:val="18"/>
          <w:lang w:val="en-US" w:eastAsia="zh-CN"/>
        </w:rPr>
        <w:t>注</w:t>
      </w:r>
      <w:r>
        <w:rPr>
          <w:rFonts w:hint="default" w:ascii="黑体" w:hAnsi="黑体" w:eastAsia="黑体" w:cs="黑体"/>
          <w:sz w:val="18"/>
          <w:szCs w:val="18"/>
          <w:lang w:val="en-US" w:eastAsia="zh-CN"/>
        </w:rPr>
        <w:t>2</w:t>
      </w:r>
      <w:r>
        <w:rPr>
          <w:rFonts w:hint="eastAsia" w:ascii="黑体" w:hAnsi="黑体" w:eastAsia="黑体" w:cs="黑体"/>
          <w:sz w:val="18"/>
          <w:szCs w:val="18"/>
          <w:lang w:val="en-US" w:eastAsia="zh-CN"/>
        </w:rPr>
        <w:t>：</w:t>
      </w:r>
      <w:r>
        <w:rPr>
          <w:rFonts w:hint="eastAsia" w:ascii="宋体" w:hAnsi="宋体" w:eastAsia="宋体" w:cs="宋体"/>
          <w:sz w:val="18"/>
          <w:szCs w:val="18"/>
          <w:lang w:val="en-US" w:eastAsia="zh-CN"/>
        </w:rPr>
        <w:t>因首列晚点造成的后续晚点均计入晚点列次。列车始发晚点，但其全程运行时间未超过列车计划运行图（时刻表）规定的全程运行时分，不计入晚点。</w:t>
      </w:r>
    </w:p>
    <w:p>
      <w:pPr>
        <w:pStyle w:val="233"/>
        <w:keepNext w:val="0"/>
        <w:keepLines w:val="0"/>
        <w:pageBreakBefore w:val="0"/>
        <w:widowControl/>
        <w:kinsoku/>
        <w:wordWrap/>
        <w:overflowPunct/>
        <w:topLinePunct w:val="0"/>
        <w:autoSpaceDE w:val="0"/>
        <w:autoSpaceDN w:val="0"/>
        <w:bidi w:val="0"/>
        <w:adjustRightInd/>
        <w:snapToGrid/>
        <w:ind w:left="780" w:leftChars="200" w:hanging="360" w:hangingChars="200"/>
        <w:textAlignment w:val="auto"/>
        <w:rPr>
          <w:rFonts w:hint="eastAsia" w:ascii="宋体" w:hAnsi="宋体" w:eastAsia="宋体" w:cs="宋体"/>
          <w:sz w:val="18"/>
          <w:szCs w:val="18"/>
          <w:lang w:val="en-US" w:eastAsia="zh-CN"/>
        </w:rPr>
      </w:pPr>
      <w:r>
        <w:rPr>
          <w:rFonts w:hint="eastAsia" w:ascii="黑体" w:hAnsi="黑体" w:eastAsia="黑体" w:cs="黑体"/>
          <w:sz w:val="18"/>
          <w:szCs w:val="18"/>
          <w:lang w:val="en-US" w:eastAsia="zh-CN"/>
        </w:rPr>
        <w:t>注</w:t>
      </w:r>
      <w:r>
        <w:rPr>
          <w:rFonts w:hint="default" w:ascii="黑体" w:hAnsi="黑体" w:eastAsia="黑体" w:cs="黑体"/>
          <w:sz w:val="18"/>
          <w:szCs w:val="18"/>
          <w:lang w:val="en-US" w:eastAsia="zh-CN"/>
        </w:rPr>
        <w:t>3</w:t>
      </w:r>
      <w:r>
        <w:rPr>
          <w:rFonts w:hint="eastAsia" w:ascii="黑体" w:hAnsi="黑体" w:eastAsia="黑体" w:cs="黑体"/>
          <w:sz w:val="18"/>
          <w:szCs w:val="18"/>
          <w:lang w:val="en-US" w:eastAsia="zh-CN"/>
        </w:rPr>
        <w:t>：</w:t>
      </w:r>
      <w:r>
        <w:rPr>
          <w:rFonts w:hint="eastAsia" w:ascii="宋体" w:hAnsi="宋体" w:eastAsia="宋体" w:cs="宋体"/>
          <w:sz w:val="18"/>
          <w:szCs w:val="18"/>
          <w:lang w:val="en-US" w:eastAsia="zh-CN"/>
        </w:rPr>
        <w:t>对于中途退出的列车，按其退出运营的车站作为到达站统计晚点。</w:t>
      </w:r>
    </w:p>
    <w:p>
      <w:pPr>
        <w:pStyle w:val="233"/>
        <w:keepNext w:val="0"/>
        <w:keepLines w:val="0"/>
        <w:pageBreakBefore w:val="0"/>
        <w:widowControl/>
        <w:kinsoku/>
        <w:wordWrap/>
        <w:overflowPunct/>
        <w:topLinePunct w:val="0"/>
        <w:autoSpaceDE w:val="0"/>
        <w:autoSpaceDN w:val="0"/>
        <w:bidi w:val="0"/>
        <w:adjustRightInd/>
        <w:snapToGrid/>
        <w:ind w:left="780" w:leftChars="200" w:hanging="360" w:hangingChars="200"/>
        <w:textAlignment w:val="auto"/>
        <w:rPr>
          <w:rFonts w:hint="eastAsia" w:ascii="宋体" w:hAnsi="宋体" w:eastAsia="宋体" w:cs="宋体"/>
          <w:sz w:val="18"/>
          <w:szCs w:val="18"/>
          <w:lang w:val="en-US" w:eastAsia="zh-CN"/>
        </w:rPr>
      </w:pPr>
      <w:r>
        <w:rPr>
          <w:rFonts w:hint="eastAsia" w:ascii="黑体" w:hAnsi="黑体" w:eastAsia="黑体" w:cs="黑体"/>
          <w:sz w:val="18"/>
          <w:szCs w:val="18"/>
          <w:lang w:val="en-US" w:eastAsia="zh-CN"/>
        </w:rPr>
        <w:t>注</w:t>
      </w:r>
      <w:r>
        <w:rPr>
          <w:rFonts w:hint="default" w:ascii="黑体" w:hAnsi="黑体" w:eastAsia="黑体" w:cs="黑体"/>
          <w:sz w:val="18"/>
          <w:szCs w:val="18"/>
          <w:lang w:val="en-US" w:eastAsia="zh-CN"/>
        </w:rPr>
        <w:t>4</w:t>
      </w:r>
      <w:r>
        <w:rPr>
          <w:rFonts w:hint="eastAsia" w:ascii="黑体" w:hAnsi="黑体" w:eastAsia="黑体" w:cs="黑体"/>
          <w:sz w:val="18"/>
          <w:szCs w:val="18"/>
          <w:lang w:val="en-US" w:eastAsia="zh-CN"/>
        </w:rPr>
        <w:t>：</w:t>
      </w:r>
      <w:r>
        <w:rPr>
          <w:rFonts w:hint="eastAsia" w:ascii="宋体" w:hAnsi="宋体" w:eastAsia="宋体" w:cs="宋体"/>
          <w:sz w:val="18"/>
          <w:szCs w:val="18"/>
          <w:lang w:val="en-US" w:eastAsia="zh-CN"/>
        </w:rPr>
        <w:t>同性质列车中途变更列车车次，到达晚点按初次变更前的列车车次统计。</w:t>
      </w:r>
    </w:p>
    <w:p>
      <w:pPr>
        <w:pStyle w:val="80"/>
        <w:spacing w:before="120" w:after="120"/>
        <w:rPr>
          <w:rFonts w:hint="eastAsia"/>
        </w:rPr>
      </w:pPr>
      <w:bookmarkStart w:id="322" w:name="_Toc12212"/>
      <w:bookmarkStart w:id="323" w:name="_Toc9002"/>
      <w:r>
        <w:rPr>
          <w:rFonts w:hint="eastAsia"/>
        </w:rPr>
        <w:t>实际开行列次</w:t>
      </w:r>
      <w:bookmarkEnd w:id="322"/>
      <w:bookmarkEnd w:id="323"/>
    </w:p>
    <w:p>
      <w:pPr>
        <w:pStyle w:val="233"/>
        <w:rPr>
          <w:szCs w:val="21"/>
        </w:rPr>
      </w:pPr>
      <w:r>
        <w:rPr>
          <w:rFonts w:hint="eastAsia"/>
          <w:szCs w:val="21"/>
        </w:rPr>
        <w:t>定义：统计期内，线路列车实际开行的总列次数为计划兑现列次与加开列次之和。</w:t>
      </w:r>
    </w:p>
    <w:p>
      <w:pPr>
        <w:pStyle w:val="233"/>
        <w:rPr>
          <w:szCs w:val="21"/>
        </w:rPr>
      </w:pPr>
      <w:r>
        <w:rPr>
          <w:rFonts w:hint="eastAsia"/>
          <w:szCs w:val="21"/>
        </w:rPr>
        <w:t>单位：列次。</w:t>
      </w:r>
    </w:p>
    <w:p>
      <w:pPr>
        <w:pStyle w:val="233"/>
        <w:rPr>
          <w:szCs w:val="21"/>
        </w:rPr>
      </w:pPr>
      <w:r>
        <w:rPr>
          <w:rFonts w:hint="eastAsia"/>
          <w:szCs w:val="21"/>
        </w:rPr>
        <w:t>计算方法：见式A.19。</w:t>
      </w:r>
    </w:p>
    <w:p>
      <w:pPr>
        <w:pStyle w:val="233"/>
        <w:jc w:val="right"/>
        <w:rPr>
          <w:rFonts w:hint="eastAsia" w:hAnsi="Cambria Math"/>
          <w:szCs w:val="21"/>
        </w:rPr>
      </w:pPr>
      <m:oMath>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11l</m:t>
            </m:r>
            <m:ctrlPr>
              <w:rPr>
                <w:rFonts w:ascii="Cambria Math" w:hAnsi="Cambria Math"/>
                <w:i/>
                <w:szCs w:val="21"/>
              </w:rPr>
            </m:ctrlP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10l</m:t>
            </m:r>
            <m:ctrlPr>
              <w:rPr>
                <w:rFonts w:ascii="Cambria Math" w:hAnsi="Cambria Math"/>
                <w:i/>
                <w:szCs w:val="21"/>
              </w:rPr>
            </m:ctrlP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8l</m:t>
            </m:r>
            <m:ctrlPr>
              <w:rPr>
                <w:rFonts w:ascii="Cambria Math" w:hAnsi="Cambria Math"/>
                <w:i/>
                <w:szCs w:val="21"/>
              </w:rPr>
            </m:ctrlPr>
          </m:sub>
        </m:sSub>
      </m:oMath>
      <w:r>
        <w:rPr>
          <w:rStyle w:val="244"/>
        </w:rPr>
        <w:t>……………………………………</w:t>
      </w:r>
      <w:r>
        <w:rPr>
          <w:rFonts w:hint="eastAsia" w:hAnsi="Cambria Math"/>
          <w:szCs w:val="21"/>
        </w:rPr>
        <w:t>（A.19）</w:t>
      </w:r>
    </w:p>
    <w:p>
      <w:pPr>
        <w:pStyle w:val="233"/>
        <w:rPr>
          <w:szCs w:val="21"/>
        </w:rPr>
      </w:pPr>
      <w:r>
        <w:rPr>
          <w:rFonts w:hint="eastAsia"/>
          <w:szCs w:val="21"/>
        </w:rPr>
        <w:t>式中：</w:t>
      </w:r>
    </w:p>
    <w:p>
      <w:pPr>
        <w:pStyle w:val="233"/>
        <w:rPr>
          <w:szCs w:val="21"/>
        </w:rPr>
      </w:pPr>
      <m:oMath>
        <m:sSub>
          <m:sSubPr>
            <m:ctrlPr>
              <w:rPr>
                <w:rFonts w:hint="eastAsia" w:ascii="Cambria Math" w:hAnsi="Cambria Math"/>
                <w:i/>
                <w:iCs/>
                <w:szCs w:val="21"/>
              </w:rPr>
            </m:ctrlPr>
          </m:sSubPr>
          <m:e>
            <m:r>
              <w:rPr>
                <w:rFonts w:ascii="Cambria Math" w:hAnsi="Cambria Math"/>
                <w:szCs w:val="21"/>
              </w:rPr>
              <m:t>Q</m:t>
            </m:r>
            <m:ctrlPr>
              <w:rPr>
                <w:rFonts w:hint="eastAsia" w:ascii="Cambria Math" w:hAnsi="Cambria Math"/>
                <w:i/>
                <w:iCs/>
                <w:szCs w:val="21"/>
              </w:rPr>
            </m:ctrlPr>
          </m:e>
          <m:sub>
            <m:r>
              <w:rPr>
                <w:rFonts w:ascii="Cambria Math" w:hAnsi="Cambria Math"/>
                <w:szCs w:val="21"/>
              </w:rPr>
              <m:t>11l</m:t>
            </m:r>
            <m:ctrlPr>
              <w:rPr>
                <w:rFonts w:hint="eastAsia" w:ascii="Cambria Math" w:hAnsi="Cambria Math"/>
                <w:i/>
                <w:iCs/>
                <w:szCs w:val="21"/>
              </w:rPr>
            </m:ctrlPr>
          </m:sub>
        </m:sSub>
      </m:oMath>
      <w:r>
        <w:rPr>
          <w:rFonts w:hint="eastAsia"/>
          <w:i/>
          <w:iCs/>
          <w:szCs w:val="21"/>
        </w:rPr>
        <w:t xml:space="preserve"> </w:t>
      </w:r>
      <w:r>
        <w:rPr>
          <w:rFonts w:hint="eastAsia"/>
          <w:szCs w:val="21"/>
        </w:rPr>
        <w:t>——线路实际开行列次。</w:t>
      </w:r>
    </w:p>
    <w:p>
      <w:pPr>
        <w:pStyle w:val="80"/>
        <w:spacing w:before="120" w:after="120"/>
        <w:rPr>
          <w:rFonts w:hint="eastAsia"/>
        </w:rPr>
      </w:pPr>
      <w:bookmarkStart w:id="324" w:name="_Toc16249"/>
      <w:bookmarkStart w:id="325" w:name="_Toc31435"/>
      <w:r>
        <w:rPr>
          <w:rFonts w:hint="eastAsia"/>
        </w:rPr>
        <w:t>列车正点率</w:t>
      </w:r>
      <w:bookmarkEnd w:id="324"/>
      <w:bookmarkEnd w:id="325"/>
    </w:p>
    <w:p>
      <w:pPr>
        <w:pStyle w:val="233"/>
        <w:rPr>
          <w:szCs w:val="21"/>
        </w:rPr>
      </w:pPr>
      <w:r>
        <w:rPr>
          <w:rFonts w:hint="eastAsia"/>
          <w:szCs w:val="21"/>
        </w:rPr>
        <w:t>定义：统计期内，线路正点列车次数与线路全部开行列车次数之比。</w:t>
      </w:r>
    </w:p>
    <w:p>
      <w:pPr>
        <w:pStyle w:val="233"/>
        <w:rPr>
          <w:szCs w:val="21"/>
        </w:rPr>
      </w:pPr>
      <w:r>
        <w:rPr>
          <w:rFonts w:hint="eastAsia"/>
          <w:szCs w:val="21"/>
        </w:rPr>
        <w:t>单位：%。</w:t>
      </w:r>
    </w:p>
    <w:p>
      <w:pPr>
        <w:pStyle w:val="233"/>
        <w:rPr>
          <w:szCs w:val="21"/>
        </w:rPr>
      </w:pPr>
      <w:r>
        <w:rPr>
          <w:rFonts w:hint="eastAsia"/>
          <w:szCs w:val="21"/>
        </w:rPr>
        <w:t>计算方法：见式A.20。</w:t>
      </w:r>
    </w:p>
    <w:p>
      <w:pPr>
        <w:pStyle w:val="233"/>
        <w:jc w:val="right"/>
        <w:rPr>
          <w:szCs w:val="21"/>
        </w:rPr>
      </w:pPr>
      <m:oMath>
        <m:sSub>
          <m:sSubPr>
            <m:ctrlPr>
              <w:rPr>
                <w:rFonts w:ascii="Cambria Math" w:hAnsi="Cambria Math"/>
                <w:i/>
                <w:szCs w:val="21"/>
              </w:rPr>
            </m:ctrlPr>
          </m:sSubPr>
          <m:e>
            <m:r>
              <w:rPr>
                <w:rFonts w:ascii="Cambria Math" w:hAnsi="Cambria Math"/>
                <w:szCs w:val="21"/>
              </w:rPr>
              <m:t>R</m:t>
            </m:r>
            <m:ctrlPr>
              <w:rPr>
                <w:rFonts w:ascii="Cambria Math" w:hAnsi="Cambria Math"/>
                <w:i/>
                <w:szCs w:val="21"/>
              </w:rPr>
            </m:ctrlPr>
          </m:e>
          <m:sub>
            <m:r>
              <w:rPr>
                <w:rFonts w:ascii="Cambria Math" w:hAnsi="Cambria Math"/>
                <w:szCs w:val="21"/>
              </w:rPr>
              <m:t>4l</m:t>
            </m:r>
            <m:ctrlPr>
              <w:rPr>
                <w:rFonts w:ascii="Cambria Math" w:hAnsi="Cambria Math"/>
                <w:i/>
                <w:szCs w:val="21"/>
              </w:rPr>
            </m:ctrlPr>
          </m:sub>
        </m:sSub>
        <m:r>
          <w:rPr>
            <w:rFonts w:ascii="Cambria Math" w:hAnsi="Cambria Math"/>
            <w:szCs w:val="21"/>
          </w:rPr>
          <m:t>=</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11l</m:t>
                </m:r>
                <m:ctrlPr>
                  <w:rPr>
                    <w:rFonts w:ascii="Cambria Math" w:hAnsi="Cambria Math"/>
                    <w:i/>
                    <w:szCs w:val="21"/>
                  </w:rPr>
                </m:ctrlP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12l</m:t>
                </m:r>
                <m:ctrlPr>
                  <w:rPr>
                    <w:rFonts w:ascii="Cambria Math" w:hAnsi="Cambria Math"/>
                    <w:i/>
                    <w:szCs w:val="21"/>
                  </w:rPr>
                </m:ctrlPr>
              </m:sub>
            </m:sSub>
            <m:ctrlPr>
              <w:rPr>
                <w:rFonts w:ascii="Cambria Math" w:hAnsi="Cambria Math"/>
                <w:i/>
                <w:szCs w:val="21"/>
              </w:rPr>
            </m:ctrlPr>
          </m:num>
          <m:den>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11l</m:t>
                </m:r>
                <m:ctrlPr>
                  <w:rPr>
                    <w:rFonts w:ascii="Cambria Math" w:hAnsi="Cambria Math"/>
                    <w:i/>
                    <w:szCs w:val="21"/>
                  </w:rPr>
                </m:ctrlPr>
              </m:sub>
            </m:sSub>
            <m:ctrlPr>
              <w:rPr>
                <w:rFonts w:ascii="Cambria Math" w:hAnsi="Cambria Math"/>
                <w:i/>
                <w:szCs w:val="21"/>
              </w:rPr>
            </m:ctrlPr>
          </m:den>
        </m:f>
        <m:r>
          <w:rPr>
            <w:rFonts w:ascii="Cambria Math" w:hAnsi="Cambria Math"/>
            <w:szCs w:val="21"/>
          </w:rPr>
          <m:t>×100%</m:t>
        </m:r>
      </m:oMath>
      <w:r>
        <w:rPr>
          <w:rStyle w:val="244"/>
        </w:rPr>
        <w:t>……………………………………</w:t>
      </w:r>
      <w:r>
        <w:rPr>
          <w:rFonts w:hint="eastAsia" w:hAnsi="Cambria Math"/>
          <w:szCs w:val="21"/>
        </w:rPr>
        <w:t>（A.20）</w:t>
      </w:r>
    </w:p>
    <w:p>
      <w:pPr>
        <w:pStyle w:val="233"/>
        <w:rPr>
          <w:szCs w:val="21"/>
        </w:rPr>
      </w:pPr>
      <w:r>
        <w:rPr>
          <w:rFonts w:hint="eastAsia"/>
          <w:szCs w:val="21"/>
        </w:rPr>
        <w:t>式中：</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R</m:t>
            </m:r>
            <m:ctrlPr>
              <w:rPr>
                <w:rFonts w:ascii="Cambria Math" w:hAnsi="Cambria Math"/>
                <w:i/>
                <w:szCs w:val="21"/>
              </w:rPr>
            </m:ctrlPr>
          </m:e>
          <m:sub>
            <m:r>
              <w:rPr>
                <w:rFonts w:ascii="Cambria Math" w:hAnsi="Cambria Math"/>
                <w:szCs w:val="21"/>
              </w:rPr>
              <m:t>4l</m:t>
            </m:r>
            <m:ctrlPr>
              <w:rPr>
                <w:rFonts w:ascii="Cambria Math" w:hAnsi="Cambria Math"/>
                <w:i/>
                <w:szCs w:val="21"/>
              </w:rPr>
            </m:ctrlPr>
          </m:sub>
        </m:sSub>
      </m:oMath>
      <w:r>
        <w:rPr>
          <w:rFonts w:hint="eastAsia" w:hAnsi="Cambria Math"/>
          <w:szCs w:val="21"/>
        </w:rPr>
        <w:t xml:space="preserve"> ——列车正点率；</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12l</m:t>
            </m:r>
            <m:ctrlPr>
              <w:rPr>
                <w:rFonts w:ascii="Cambria Math" w:hAnsi="Cambria Math"/>
                <w:i/>
                <w:szCs w:val="21"/>
              </w:rPr>
            </m:ctrlPr>
          </m:sub>
        </m:sSub>
      </m:oMath>
      <w:r>
        <w:rPr>
          <w:rFonts w:hint="eastAsia" w:hAnsi="Cambria Math"/>
          <w:szCs w:val="21"/>
        </w:rPr>
        <w:t xml:space="preserve"> ——线路晚点列次。</w:t>
      </w:r>
    </w:p>
    <w:p>
      <w:pPr>
        <w:pStyle w:val="80"/>
        <w:spacing w:before="120" w:after="120"/>
        <w:rPr>
          <w:rFonts w:hint="eastAsia"/>
        </w:rPr>
      </w:pPr>
      <w:bookmarkStart w:id="326" w:name="_Toc1213"/>
      <w:bookmarkStart w:id="327" w:name="_Toc14205"/>
      <w:r>
        <w:rPr>
          <w:rFonts w:hint="eastAsia"/>
        </w:rPr>
        <w:t>列车运行图/时刻表兑现率</w:t>
      </w:r>
      <w:bookmarkEnd w:id="326"/>
      <w:bookmarkEnd w:id="327"/>
    </w:p>
    <w:p>
      <w:pPr>
        <w:pStyle w:val="233"/>
        <w:rPr>
          <w:szCs w:val="21"/>
        </w:rPr>
      </w:pPr>
      <w:r>
        <w:rPr>
          <w:rFonts w:hint="eastAsia"/>
          <w:szCs w:val="21"/>
        </w:rPr>
        <w:t>定义：统计期内，线路列车运行图/时刻表计划兑现列次与线路计划开行列次之比。</w:t>
      </w:r>
    </w:p>
    <w:p>
      <w:pPr>
        <w:pStyle w:val="233"/>
        <w:rPr>
          <w:szCs w:val="21"/>
        </w:rPr>
      </w:pPr>
      <w:r>
        <w:rPr>
          <w:rFonts w:hint="eastAsia"/>
          <w:szCs w:val="21"/>
        </w:rPr>
        <w:t>单位：%。</w:t>
      </w:r>
    </w:p>
    <w:p>
      <w:pPr>
        <w:pStyle w:val="233"/>
        <w:rPr>
          <w:szCs w:val="21"/>
        </w:rPr>
      </w:pPr>
      <w:r>
        <w:rPr>
          <w:rFonts w:hint="eastAsia"/>
          <w:szCs w:val="21"/>
        </w:rPr>
        <w:t>计算方法：见式A.21。</w:t>
      </w:r>
    </w:p>
    <w:p>
      <w:pPr>
        <w:pStyle w:val="233"/>
        <w:jc w:val="right"/>
        <w:rPr>
          <w:szCs w:val="21"/>
        </w:rPr>
      </w:pPr>
      <m:oMath>
        <m:sSub>
          <m:sSubPr>
            <m:ctrlPr>
              <w:rPr>
                <w:rFonts w:ascii="Cambria Math" w:hAnsi="Cambria Math"/>
                <w:i/>
                <w:szCs w:val="21"/>
              </w:rPr>
            </m:ctrlPr>
          </m:sSubPr>
          <m:e>
            <m:r>
              <w:rPr>
                <w:rFonts w:ascii="Cambria Math" w:hAnsi="Cambria Math"/>
                <w:szCs w:val="21"/>
              </w:rPr>
              <m:t>R</m:t>
            </m:r>
            <m:ctrlPr>
              <w:rPr>
                <w:rFonts w:ascii="Cambria Math" w:hAnsi="Cambria Math"/>
                <w:i/>
                <w:szCs w:val="21"/>
              </w:rPr>
            </m:ctrlPr>
          </m:e>
          <m:sub>
            <m:r>
              <w:rPr>
                <w:rFonts w:ascii="Cambria Math" w:hAnsi="Cambria Math"/>
                <w:szCs w:val="21"/>
              </w:rPr>
              <m:t>5l</m:t>
            </m:r>
            <m:ctrlPr>
              <w:rPr>
                <w:rFonts w:ascii="Cambria Math" w:hAnsi="Cambria Math"/>
                <w:i/>
                <w:szCs w:val="21"/>
              </w:rPr>
            </m:ctrlPr>
          </m:sub>
        </m:sSub>
        <m:r>
          <w:rPr>
            <w:rFonts w:ascii="Cambria Math" w:hAnsi="Cambria Math"/>
            <w:szCs w:val="21"/>
          </w:rPr>
          <m:t>=</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10l</m:t>
                </m:r>
                <m:ctrlPr>
                  <w:rPr>
                    <w:rFonts w:ascii="Cambria Math" w:hAnsi="Cambria Math"/>
                    <w:i/>
                    <w:szCs w:val="21"/>
                  </w:rPr>
                </m:ctrlPr>
              </m:sub>
            </m:sSub>
            <m:ctrlPr>
              <w:rPr>
                <w:rFonts w:ascii="Cambria Math" w:hAnsi="Cambria Math"/>
                <w:i/>
                <w:szCs w:val="21"/>
              </w:rPr>
            </m:ctrlPr>
          </m:num>
          <m:den>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7l</m:t>
                </m:r>
                <m:ctrlPr>
                  <w:rPr>
                    <w:rFonts w:ascii="Cambria Math" w:hAnsi="Cambria Math"/>
                    <w:i/>
                    <w:szCs w:val="21"/>
                  </w:rPr>
                </m:ctrlPr>
              </m:sub>
            </m:sSub>
            <m:ctrlPr>
              <w:rPr>
                <w:rFonts w:ascii="Cambria Math" w:hAnsi="Cambria Math"/>
                <w:i/>
                <w:szCs w:val="21"/>
              </w:rPr>
            </m:ctrlPr>
          </m:den>
        </m:f>
        <m:r>
          <w:rPr>
            <w:rFonts w:ascii="Cambria Math" w:hAnsi="Cambria Math"/>
            <w:szCs w:val="21"/>
          </w:rPr>
          <m:t>×100%</m:t>
        </m:r>
      </m:oMath>
      <w:r>
        <w:rPr>
          <w:rStyle w:val="244"/>
        </w:rPr>
        <w:t>……………………………………（</w:t>
      </w:r>
      <w:r>
        <w:rPr>
          <w:rFonts w:hint="eastAsia" w:hAnsi="Cambria Math"/>
          <w:szCs w:val="21"/>
        </w:rPr>
        <w:t>A.21）</w:t>
      </w:r>
    </w:p>
    <w:p>
      <w:pPr>
        <w:pStyle w:val="233"/>
        <w:rPr>
          <w:szCs w:val="21"/>
        </w:rPr>
      </w:pPr>
      <w:r>
        <w:rPr>
          <w:rFonts w:hint="eastAsia"/>
          <w:szCs w:val="21"/>
        </w:rPr>
        <w:t>式中：</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R</m:t>
            </m:r>
            <m:ctrlPr>
              <w:rPr>
                <w:rFonts w:ascii="Cambria Math" w:hAnsi="Cambria Math"/>
                <w:i/>
                <w:szCs w:val="21"/>
              </w:rPr>
            </m:ctrlPr>
          </m:e>
          <m:sub>
            <m:r>
              <w:rPr>
                <w:rFonts w:ascii="Cambria Math" w:hAnsi="Cambria Math"/>
                <w:szCs w:val="21"/>
              </w:rPr>
              <m:t>5l</m:t>
            </m:r>
            <m:ctrlPr>
              <w:rPr>
                <w:rFonts w:ascii="Cambria Math" w:hAnsi="Cambria Math"/>
                <w:i/>
                <w:szCs w:val="21"/>
              </w:rPr>
            </m:ctrlPr>
          </m:sub>
        </m:sSub>
      </m:oMath>
      <w:r>
        <w:rPr>
          <w:rFonts w:hint="eastAsia" w:hAnsi="Cambria Math"/>
          <w:szCs w:val="21"/>
        </w:rPr>
        <w:t xml:space="preserve"> ——线路列车运行图/时刻表兑现率。</w:t>
      </w:r>
    </w:p>
    <w:p>
      <w:pPr>
        <w:pStyle w:val="80"/>
        <w:spacing w:before="120" w:after="120"/>
        <w:rPr>
          <w:rFonts w:hint="eastAsia"/>
        </w:rPr>
      </w:pPr>
      <w:bookmarkStart w:id="328" w:name="_Toc21209"/>
      <w:bookmarkStart w:id="329" w:name="_Toc14630"/>
      <w:r>
        <w:rPr>
          <w:rFonts w:hint="eastAsia"/>
        </w:rPr>
        <w:t>5</w:t>
      </w:r>
      <w:r>
        <w:rPr>
          <w:rFonts w:hint="default"/>
          <w:lang w:val="en-US"/>
        </w:rPr>
        <w:t xml:space="preserve"> min</w:t>
      </w:r>
      <w:r>
        <w:rPr>
          <w:rFonts w:hint="eastAsia"/>
        </w:rPr>
        <w:t>及以上延误事件数</w:t>
      </w:r>
      <w:bookmarkEnd w:id="328"/>
      <w:bookmarkEnd w:id="329"/>
    </w:p>
    <w:p>
      <w:pPr>
        <w:pStyle w:val="233"/>
        <w:rPr>
          <w:szCs w:val="21"/>
        </w:rPr>
      </w:pPr>
      <w:r>
        <w:rPr>
          <w:rFonts w:hint="eastAsia"/>
          <w:szCs w:val="21"/>
        </w:rPr>
        <w:t>定义：统计期内，线路中发生的5</w:t>
      </w:r>
      <w:r>
        <w:rPr>
          <w:rFonts w:hint="default"/>
          <w:szCs w:val="21"/>
          <w:lang w:val="en-US"/>
        </w:rPr>
        <w:t xml:space="preserve"> </w:t>
      </w:r>
      <w:r>
        <w:rPr>
          <w:rFonts w:hint="eastAsia"/>
          <w:szCs w:val="21"/>
        </w:rPr>
        <w:t>min及以上延误事件数。</w:t>
      </w:r>
    </w:p>
    <w:p>
      <w:pPr>
        <w:pStyle w:val="233"/>
        <w:rPr>
          <w:szCs w:val="21"/>
        </w:rPr>
      </w:pPr>
      <w:r>
        <w:rPr>
          <w:rFonts w:hint="eastAsia"/>
          <w:szCs w:val="21"/>
        </w:rPr>
        <w:t>单位：件。</w:t>
      </w:r>
    </w:p>
    <w:p>
      <w:pPr>
        <w:pStyle w:val="233"/>
        <w:keepNext w:val="0"/>
        <w:keepLines w:val="0"/>
        <w:pageBreakBefore w:val="0"/>
        <w:widowControl/>
        <w:kinsoku/>
        <w:wordWrap/>
        <w:overflowPunct/>
        <w:topLinePunct w:val="0"/>
        <w:autoSpaceDE w:val="0"/>
        <w:autoSpaceDN w:val="0"/>
        <w:bidi w:val="0"/>
        <w:adjustRightInd/>
        <w:snapToGrid/>
        <w:ind w:left="870" w:leftChars="200" w:hanging="450" w:hangingChars="250"/>
        <w:textAlignment w:val="auto"/>
        <w:rPr>
          <w:rFonts w:hint="eastAsia" w:ascii="宋体" w:hAnsi="宋体" w:eastAsia="宋体" w:cs="宋体"/>
          <w:sz w:val="18"/>
          <w:szCs w:val="18"/>
          <w:lang w:val="en-US" w:eastAsia="zh-CN"/>
        </w:rPr>
      </w:pPr>
      <w:r>
        <w:rPr>
          <w:rFonts w:hint="eastAsia" w:ascii="黑体" w:hAnsi="黑体" w:eastAsia="黑体" w:cs="黑体"/>
          <w:sz w:val="18"/>
          <w:szCs w:val="18"/>
          <w:lang w:val="en-US" w:eastAsia="zh-CN"/>
        </w:rPr>
        <w:t>注1：</w:t>
      </w:r>
      <w:r>
        <w:rPr>
          <w:rFonts w:hint="eastAsia" w:ascii="宋体" w:hAnsi="宋体" w:eastAsia="宋体" w:cs="宋体"/>
          <w:sz w:val="18"/>
          <w:szCs w:val="18"/>
          <w:lang w:val="en-US" w:eastAsia="zh-CN"/>
        </w:rPr>
        <w:t>列车在运行图或者时刻表执行过程中，在任意车站的延误时间大于或等于5 min时，记为本单向运行造成5 min及以上延误事件1次。</w:t>
      </w:r>
    </w:p>
    <w:p>
      <w:pPr>
        <w:pStyle w:val="233"/>
        <w:keepNext w:val="0"/>
        <w:keepLines w:val="0"/>
        <w:pageBreakBefore w:val="0"/>
        <w:widowControl/>
        <w:kinsoku/>
        <w:wordWrap/>
        <w:overflowPunct/>
        <w:topLinePunct w:val="0"/>
        <w:autoSpaceDE w:val="0"/>
        <w:autoSpaceDN w:val="0"/>
        <w:bidi w:val="0"/>
        <w:adjustRightInd/>
        <w:snapToGrid/>
        <w:ind w:left="870" w:leftChars="200" w:hanging="450" w:hangingChars="250"/>
        <w:textAlignment w:val="auto"/>
        <w:rPr>
          <w:rFonts w:hint="eastAsia" w:ascii="宋体" w:hAnsi="宋体" w:eastAsia="宋体" w:cs="宋体"/>
          <w:sz w:val="18"/>
          <w:szCs w:val="18"/>
          <w:lang w:val="en-US" w:eastAsia="zh-CN"/>
        </w:rPr>
      </w:pPr>
      <w:r>
        <w:rPr>
          <w:rFonts w:hint="eastAsia" w:ascii="黑体" w:hAnsi="黑体" w:eastAsia="黑体" w:cs="黑体"/>
          <w:sz w:val="18"/>
          <w:szCs w:val="18"/>
          <w:lang w:val="en-US" w:eastAsia="zh-CN"/>
        </w:rPr>
        <w:t>注</w:t>
      </w:r>
      <w:r>
        <w:rPr>
          <w:rFonts w:hint="default" w:ascii="黑体" w:hAnsi="黑体" w:eastAsia="黑体" w:cs="黑体"/>
          <w:sz w:val="18"/>
          <w:szCs w:val="18"/>
          <w:lang w:val="en-US" w:eastAsia="zh-CN"/>
        </w:rPr>
        <w:t>2</w:t>
      </w:r>
      <w:r>
        <w:rPr>
          <w:rFonts w:hint="eastAsia" w:ascii="黑体" w:hAnsi="黑体" w:eastAsia="黑体" w:cs="黑体"/>
          <w:sz w:val="18"/>
          <w:szCs w:val="18"/>
          <w:lang w:val="en-US" w:eastAsia="zh-CN"/>
        </w:rPr>
        <w:t>：</w:t>
      </w:r>
      <w:r>
        <w:rPr>
          <w:rFonts w:hint="eastAsia" w:ascii="宋体" w:hAnsi="宋体" w:eastAsia="宋体" w:cs="宋体"/>
          <w:sz w:val="18"/>
          <w:szCs w:val="18"/>
          <w:lang w:val="en-US" w:eastAsia="zh-CN"/>
        </w:rPr>
        <w:t>5</w:t>
      </w:r>
      <w:r>
        <w:rPr>
          <w:rFonts w:hint="default" w:hAnsi="宋体" w:cs="宋体"/>
          <w:sz w:val="18"/>
          <w:szCs w:val="18"/>
          <w:lang w:val="en-US" w:eastAsia="zh-CN"/>
        </w:rPr>
        <w:t xml:space="preserve"> min</w:t>
      </w:r>
      <w:r>
        <w:rPr>
          <w:rFonts w:hint="eastAsia" w:ascii="宋体" w:hAnsi="宋体" w:eastAsia="宋体" w:cs="宋体"/>
          <w:sz w:val="18"/>
          <w:szCs w:val="18"/>
          <w:lang w:val="en-US" w:eastAsia="zh-CN"/>
        </w:rPr>
        <w:t>及以上延误事件分5 min(含)～1 5min、15 min(含)～30 min、30 min(含)及以上3个等级。</w:t>
      </w:r>
    </w:p>
    <w:p>
      <w:pPr>
        <w:pStyle w:val="233"/>
        <w:keepNext w:val="0"/>
        <w:keepLines w:val="0"/>
        <w:pageBreakBefore w:val="0"/>
        <w:widowControl/>
        <w:kinsoku/>
        <w:wordWrap/>
        <w:overflowPunct/>
        <w:topLinePunct w:val="0"/>
        <w:autoSpaceDE w:val="0"/>
        <w:autoSpaceDN w:val="0"/>
        <w:bidi w:val="0"/>
        <w:adjustRightInd/>
        <w:snapToGrid/>
        <w:ind w:left="870" w:leftChars="200" w:hanging="450" w:hangingChars="250"/>
        <w:textAlignment w:val="auto"/>
        <w:rPr>
          <w:rFonts w:hint="eastAsia" w:ascii="宋体" w:hAnsi="宋体" w:eastAsia="宋体" w:cs="宋体"/>
          <w:sz w:val="18"/>
          <w:szCs w:val="18"/>
          <w:lang w:val="en-US" w:eastAsia="zh-CN"/>
        </w:rPr>
      </w:pPr>
      <w:r>
        <w:rPr>
          <w:rFonts w:hint="eastAsia" w:ascii="黑体" w:hAnsi="黑体" w:eastAsia="黑体" w:cs="黑体"/>
          <w:sz w:val="18"/>
          <w:szCs w:val="18"/>
          <w:lang w:val="en-US" w:eastAsia="zh-CN"/>
        </w:rPr>
        <w:t>注</w:t>
      </w:r>
      <w:r>
        <w:rPr>
          <w:rFonts w:hint="default" w:ascii="黑体" w:hAnsi="黑体" w:eastAsia="黑体" w:cs="黑体"/>
          <w:sz w:val="18"/>
          <w:szCs w:val="18"/>
          <w:lang w:val="en-US" w:eastAsia="zh-CN"/>
        </w:rPr>
        <w:t>3</w:t>
      </w:r>
      <w:r>
        <w:rPr>
          <w:rFonts w:hint="eastAsia" w:ascii="黑体" w:hAnsi="黑体" w:eastAsia="黑体" w:cs="黑体"/>
          <w:sz w:val="18"/>
          <w:szCs w:val="18"/>
          <w:lang w:val="en-US" w:eastAsia="zh-CN"/>
        </w:rPr>
        <w:t>：</w:t>
      </w:r>
      <w:r>
        <w:rPr>
          <w:rFonts w:hint="eastAsia" w:ascii="宋体" w:hAnsi="宋体" w:eastAsia="宋体" w:cs="宋体"/>
          <w:sz w:val="18"/>
          <w:szCs w:val="18"/>
          <w:lang w:val="en-US" w:eastAsia="zh-CN"/>
        </w:rPr>
        <w:t>因同一原因引起的多个5 min（15 min、30 min）延误，按事件造成的最大影响范围只记1个延误事件。</w:t>
      </w:r>
    </w:p>
    <w:p>
      <w:pPr>
        <w:pStyle w:val="233"/>
        <w:keepNext w:val="0"/>
        <w:keepLines w:val="0"/>
        <w:pageBreakBefore w:val="0"/>
        <w:widowControl/>
        <w:kinsoku/>
        <w:wordWrap/>
        <w:overflowPunct/>
        <w:topLinePunct w:val="0"/>
        <w:autoSpaceDE w:val="0"/>
        <w:autoSpaceDN w:val="0"/>
        <w:bidi w:val="0"/>
        <w:adjustRightInd/>
        <w:snapToGrid/>
        <w:ind w:left="870" w:leftChars="200" w:hanging="450" w:hangingChars="250"/>
        <w:textAlignment w:val="auto"/>
        <w:rPr>
          <w:rFonts w:hint="eastAsia" w:ascii="宋体" w:hAnsi="宋体" w:eastAsia="宋体" w:cs="宋体"/>
          <w:sz w:val="18"/>
          <w:szCs w:val="18"/>
          <w:lang w:val="en-US" w:eastAsia="zh-CN"/>
        </w:rPr>
      </w:pPr>
      <w:r>
        <w:rPr>
          <w:rFonts w:hint="eastAsia" w:ascii="黑体" w:hAnsi="黑体" w:eastAsia="黑体" w:cs="黑体"/>
          <w:sz w:val="18"/>
          <w:szCs w:val="18"/>
          <w:lang w:val="en-US" w:eastAsia="zh-CN"/>
        </w:rPr>
        <w:t>注</w:t>
      </w:r>
      <w:r>
        <w:rPr>
          <w:rFonts w:hint="default" w:ascii="黑体" w:hAnsi="黑体" w:eastAsia="黑体" w:cs="黑体"/>
          <w:sz w:val="18"/>
          <w:szCs w:val="18"/>
          <w:lang w:val="en-US" w:eastAsia="zh-CN"/>
        </w:rPr>
        <w:t>4</w:t>
      </w:r>
      <w:r>
        <w:rPr>
          <w:rFonts w:hint="eastAsia" w:ascii="黑体" w:hAnsi="黑体" w:eastAsia="黑体" w:cs="黑体"/>
          <w:sz w:val="18"/>
          <w:szCs w:val="18"/>
          <w:lang w:val="en-US" w:eastAsia="zh-CN"/>
        </w:rPr>
        <w:t>：</w:t>
      </w:r>
      <w:r>
        <w:rPr>
          <w:rFonts w:hint="eastAsia" w:ascii="宋体" w:hAnsi="宋体" w:eastAsia="宋体" w:cs="宋体"/>
          <w:sz w:val="18"/>
          <w:szCs w:val="18"/>
          <w:lang w:val="en-US" w:eastAsia="zh-CN"/>
        </w:rPr>
        <w:t>同样原因造成列车在单向运行中多个站晚点，只计本方向晚点1次。</w:t>
      </w:r>
    </w:p>
    <w:p>
      <w:pPr>
        <w:pStyle w:val="80"/>
        <w:spacing w:before="120" w:after="120"/>
        <w:rPr>
          <w:rFonts w:hint="eastAsia"/>
        </w:rPr>
      </w:pPr>
      <w:bookmarkStart w:id="330" w:name="_Toc6144"/>
      <w:bookmarkStart w:id="331" w:name="_Toc2399"/>
      <w:r>
        <w:rPr>
          <w:rFonts w:hint="eastAsia"/>
        </w:rPr>
        <w:t>5</w:t>
      </w:r>
      <w:r>
        <w:rPr>
          <w:rFonts w:hint="default"/>
          <w:lang w:val="en-US"/>
        </w:rPr>
        <w:t xml:space="preserve"> min</w:t>
      </w:r>
      <w:r>
        <w:rPr>
          <w:rFonts w:hint="eastAsia"/>
        </w:rPr>
        <w:t>及以上延误率</w:t>
      </w:r>
      <w:bookmarkEnd w:id="330"/>
      <w:bookmarkEnd w:id="331"/>
    </w:p>
    <w:p>
      <w:pPr>
        <w:pStyle w:val="233"/>
        <w:rPr>
          <w:szCs w:val="21"/>
        </w:rPr>
      </w:pPr>
      <w:r>
        <w:rPr>
          <w:rFonts w:hint="eastAsia"/>
          <w:szCs w:val="21"/>
        </w:rPr>
        <w:t>定义：统计期内，线路列车每运营百万车公里所发生的5</w:t>
      </w:r>
      <w:r>
        <w:rPr>
          <w:rFonts w:hint="default"/>
          <w:szCs w:val="21"/>
          <w:lang w:val="en-US"/>
        </w:rPr>
        <w:t xml:space="preserve"> </w:t>
      </w:r>
      <w:r>
        <w:rPr>
          <w:rFonts w:hint="eastAsia"/>
          <w:szCs w:val="21"/>
        </w:rPr>
        <w:t>min及以上延误事件数。</w:t>
      </w:r>
    </w:p>
    <w:p>
      <w:pPr>
        <w:pStyle w:val="233"/>
        <w:rPr>
          <w:szCs w:val="21"/>
        </w:rPr>
      </w:pPr>
      <w:r>
        <w:rPr>
          <w:rFonts w:hint="eastAsia"/>
          <w:szCs w:val="21"/>
        </w:rPr>
        <w:t>单位：件每百万车公里。</w:t>
      </w:r>
    </w:p>
    <w:p>
      <w:pPr>
        <w:pStyle w:val="233"/>
        <w:rPr>
          <w:szCs w:val="21"/>
        </w:rPr>
      </w:pPr>
      <w:r>
        <w:rPr>
          <w:rFonts w:hint="eastAsia"/>
          <w:szCs w:val="21"/>
        </w:rPr>
        <w:t>计算方法：见式A.22。</w:t>
      </w:r>
    </w:p>
    <w:p>
      <w:pPr>
        <w:pStyle w:val="233"/>
        <w:jc w:val="right"/>
        <w:rPr>
          <w:szCs w:val="21"/>
        </w:rPr>
      </w:pPr>
      <m:oMath>
        <m:sSub>
          <m:sSubPr>
            <m:ctrlPr>
              <w:rPr>
                <w:rFonts w:ascii="Cambria Math" w:hAnsi="Cambria Math"/>
                <w:i/>
                <w:szCs w:val="21"/>
              </w:rPr>
            </m:ctrlPr>
          </m:sSubPr>
          <m:e>
            <m:r>
              <w:rPr>
                <w:rFonts w:ascii="Cambria Math" w:hAnsi="Cambria Math"/>
                <w:szCs w:val="21"/>
              </w:rPr>
              <m:t>R</m:t>
            </m:r>
            <m:ctrlPr>
              <w:rPr>
                <w:rFonts w:ascii="Cambria Math" w:hAnsi="Cambria Math"/>
                <w:i/>
                <w:szCs w:val="21"/>
              </w:rPr>
            </m:ctrlPr>
          </m:e>
          <m:sub>
            <m:r>
              <w:rPr>
                <w:rFonts w:ascii="Cambria Math" w:hAnsi="Cambria Math"/>
                <w:szCs w:val="21"/>
              </w:rPr>
              <m:t>6l</m:t>
            </m:r>
            <m:ctrlPr>
              <w:rPr>
                <w:rFonts w:ascii="Cambria Math" w:hAnsi="Cambria Math"/>
                <w:i/>
                <w:szCs w:val="21"/>
              </w:rPr>
            </m:ctrlPr>
          </m:sub>
        </m:sSub>
        <m:r>
          <w:rPr>
            <w:rFonts w:ascii="Cambria Math" w:hAnsi="Cambria Math"/>
            <w:szCs w:val="21"/>
          </w:rPr>
          <m:t>=</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6l</m:t>
                </m:r>
                <m:ctrlPr>
                  <w:rPr>
                    <w:rFonts w:ascii="Cambria Math" w:hAnsi="Cambria Math"/>
                    <w:i/>
                    <w:szCs w:val="21"/>
                  </w:rPr>
                </m:ctrlPr>
              </m:sub>
            </m:sSub>
            <m:ctrlPr>
              <w:rPr>
                <w:rFonts w:ascii="Cambria Math" w:hAnsi="Cambria Math"/>
                <w:i/>
                <w:szCs w:val="21"/>
              </w:rPr>
            </m:ctrlPr>
          </m:num>
          <m:den>
            <m:sSub>
              <m:sSubPr>
                <m:ctrlPr>
                  <w:rPr>
                    <w:rFonts w:ascii="Cambria Math" w:hAnsi="Cambria Math"/>
                    <w:i/>
                    <w:szCs w:val="21"/>
                  </w:rPr>
                </m:ctrlPr>
              </m:sSubPr>
              <m:e>
                <m:r>
                  <w:rPr>
                    <w:rFonts w:ascii="Cambria Math" w:hAnsi="Cambria Math"/>
                    <w:szCs w:val="21"/>
                  </w:rPr>
                  <m:t>S</m:t>
                </m:r>
                <m:ctrlPr>
                  <w:rPr>
                    <w:rFonts w:ascii="Cambria Math" w:hAnsi="Cambria Math"/>
                    <w:i/>
                    <w:szCs w:val="21"/>
                  </w:rPr>
                </m:ctrlPr>
              </m:e>
              <m:sub>
                <m:r>
                  <w:rPr>
                    <w:rFonts w:ascii="Cambria Math" w:hAnsi="Cambria Math"/>
                    <w:szCs w:val="21"/>
                  </w:rPr>
                  <m:t>1l</m:t>
                </m:r>
                <m:ctrlPr>
                  <w:rPr>
                    <w:rFonts w:ascii="Cambria Math" w:hAnsi="Cambria Math"/>
                    <w:i/>
                    <w:szCs w:val="21"/>
                  </w:rPr>
                </m:ctrlPr>
              </m:sub>
            </m:sSub>
            <m:r>
              <w:rPr>
                <w:rFonts w:ascii="Cambria Math" w:hAnsi="Cambria Math"/>
                <w:szCs w:val="21"/>
              </w:rPr>
              <m:t>×</m:t>
            </m:r>
            <m:sSup>
              <m:sSupPr>
                <m:ctrlPr>
                  <w:rPr>
                    <w:rFonts w:ascii="Cambria Math" w:hAnsi="Cambria Math"/>
                    <w:i/>
                    <w:szCs w:val="21"/>
                  </w:rPr>
                </m:ctrlPr>
              </m:sSupPr>
              <m:e>
                <m:r>
                  <w:rPr>
                    <w:rFonts w:ascii="Cambria Math" w:hAnsi="Cambria Math"/>
                    <w:szCs w:val="21"/>
                  </w:rPr>
                  <m:t>10</m:t>
                </m:r>
                <m:ctrlPr>
                  <w:rPr>
                    <w:rFonts w:ascii="Cambria Math" w:hAnsi="Cambria Math"/>
                    <w:i/>
                    <w:szCs w:val="21"/>
                  </w:rPr>
                </m:ctrlPr>
              </m:e>
              <m:sup>
                <m:r>
                  <w:rPr>
                    <w:rFonts w:ascii="Cambria Math" w:hAnsi="Cambria Math"/>
                    <w:szCs w:val="21"/>
                  </w:rPr>
                  <m:t>−6</m:t>
                </m:r>
                <m:ctrlPr>
                  <w:rPr>
                    <w:rFonts w:ascii="Cambria Math" w:hAnsi="Cambria Math"/>
                    <w:i/>
                    <w:szCs w:val="21"/>
                  </w:rPr>
                </m:ctrlPr>
              </m:sup>
            </m:sSup>
            <m:ctrlPr>
              <w:rPr>
                <w:rFonts w:ascii="Cambria Math" w:hAnsi="Cambria Math"/>
                <w:i/>
                <w:szCs w:val="21"/>
              </w:rPr>
            </m:ctrlPr>
          </m:den>
        </m:f>
      </m:oMath>
      <w:r>
        <w:rPr>
          <w:rStyle w:val="244"/>
        </w:rPr>
        <w:t>………………………………………（</w:t>
      </w:r>
      <w:r>
        <w:rPr>
          <w:rFonts w:hint="eastAsia" w:hAnsi="Cambria Math"/>
          <w:szCs w:val="21"/>
        </w:rPr>
        <w:t>A.22）</w:t>
      </w:r>
    </w:p>
    <w:p>
      <w:pPr>
        <w:pStyle w:val="233"/>
        <w:rPr>
          <w:szCs w:val="21"/>
        </w:rPr>
      </w:pPr>
      <w:r>
        <w:rPr>
          <w:rFonts w:hint="eastAsia"/>
          <w:szCs w:val="21"/>
        </w:rPr>
        <w:t>式中：</w:t>
      </w:r>
    </w:p>
    <w:p>
      <w:pPr>
        <w:pStyle w:val="233"/>
        <w:rPr>
          <w:szCs w:val="21"/>
        </w:rPr>
      </w:pPr>
      <m:oMath>
        <m:sSub>
          <m:sSubPr>
            <m:ctrlPr>
              <w:rPr>
                <w:rFonts w:ascii="Cambria Math" w:hAnsi="Cambria Math"/>
                <w:i/>
                <w:szCs w:val="21"/>
              </w:rPr>
            </m:ctrlPr>
          </m:sSubPr>
          <m:e>
            <m:r>
              <w:rPr>
                <w:rFonts w:ascii="Cambria Math" w:hAnsi="Cambria Math"/>
                <w:szCs w:val="21"/>
              </w:rPr>
              <m:t>R</m:t>
            </m:r>
            <m:ctrlPr>
              <w:rPr>
                <w:rFonts w:ascii="Cambria Math" w:hAnsi="Cambria Math"/>
                <w:i/>
                <w:szCs w:val="21"/>
              </w:rPr>
            </m:ctrlPr>
          </m:e>
          <m:sub>
            <m:r>
              <w:rPr>
                <w:rFonts w:ascii="Cambria Math" w:hAnsi="Cambria Math"/>
                <w:szCs w:val="21"/>
              </w:rPr>
              <m:t>6l</m:t>
            </m:r>
            <m:ctrlPr>
              <w:rPr>
                <w:rFonts w:ascii="Cambria Math" w:hAnsi="Cambria Math"/>
                <w:i/>
                <w:szCs w:val="21"/>
              </w:rPr>
            </m:ctrlPr>
          </m:sub>
        </m:sSub>
      </m:oMath>
      <w:r>
        <w:rPr>
          <w:rFonts w:hint="eastAsia" w:hAnsi="Cambria Math"/>
          <w:szCs w:val="21"/>
        </w:rPr>
        <w:t xml:space="preserve"> ——线路</w:t>
      </w:r>
      <w:r>
        <w:rPr>
          <w:rFonts w:hint="eastAsia"/>
          <w:szCs w:val="21"/>
        </w:rPr>
        <w:t>5</w:t>
      </w:r>
      <w:r>
        <w:rPr>
          <w:rFonts w:hint="default"/>
          <w:szCs w:val="21"/>
          <w:lang w:val="en-US"/>
        </w:rPr>
        <w:t xml:space="preserve"> min</w:t>
      </w:r>
      <w:r>
        <w:rPr>
          <w:rFonts w:hint="eastAsia"/>
          <w:szCs w:val="21"/>
        </w:rPr>
        <w:t>及以上延误率。</w:t>
      </w:r>
    </w:p>
    <w:p>
      <w:pPr>
        <w:pStyle w:val="80"/>
        <w:spacing w:before="120" w:after="120"/>
        <w:rPr>
          <w:rFonts w:hint="eastAsia"/>
        </w:rPr>
      </w:pPr>
      <w:bookmarkStart w:id="332" w:name="_Toc5419"/>
      <w:bookmarkStart w:id="333" w:name="_Toc11552"/>
      <w:r>
        <w:rPr>
          <w:rFonts w:hint="eastAsia"/>
        </w:rPr>
        <w:t>清客列次</w:t>
      </w:r>
      <w:bookmarkEnd w:id="332"/>
      <w:bookmarkEnd w:id="333"/>
    </w:p>
    <w:p>
      <w:pPr>
        <w:pStyle w:val="233"/>
        <w:rPr>
          <w:szCs w:val="21"/>
        </w:rPr>
      </w:pPr>
      <w:r>
        <w:rPr>
          <w:rFonts w:hint="eastAsia"/>
          <w:szCs w:val="21"/>
        </w:rPr>
        <w:t>定义：统计期内，在线路运行图或者时刻表执行过程中，已进行载客的列车因故障、事故而无执行载客业务，需要在车站或区间将乘客由车厢中清出至站台的列次数。</w:t>
      </w:r>
    </w:p>
    <w:p>
      <w:pPr>
        <w:pStyle w:val="233"/>
        <w:rPr>
          <w:szCs w:val="21"/>
        </w:rPr>
      </w:pPr>
      <w:r>
        <w:rPr>
          <w:rFonts w:hint="eastAsia"/>
          <w:szCs w:val="21"/>
        </w:rPr>
        <w:t>单位：列次。</w:t>
      </w:r>
    </w:p>
    <w:p>
      <w:pPr>
        <w:pStyle w:val="233"/>
        <w:keepNext w:val="0"/>
        <w:keepLines w:val="0"/>
        <w:pageBreakBefore w:val="0"/>
        <w:widowControl/>
        <w:kinsoku/>
        <w:wordWrap/>
        <w:overflowPunct/>
        <w:topLinePunct w:val="0"/>
        <w:autoSpaceDE w:val="0"/>
        <w:autoSpaceDN w:val="0"/>
        <w:bidi w:val="0"/>
        <w:adjustRightInd/>
        <w:snapToGrid/>
        <w:ind w:left="870" w:leftChars="200" w:hanging="450" w:hangingChars="250"/>
        <w:textAlignment w:val="auto"/>
        <w:rPr>
          <w:rFonts w:hint="eastAsia" w:ascii="宋体" w:hAnsi="宋体" w:eastAsia="宋体" w:cs="宋体"/>
          <w:sz w:val="18"/>
          <w:szCs w:val="18"/>
          <w:lang w:val="en-US" w:eastAsia="zh-CN"/>
        </w:rPr>
      </w:pPr>
      <w:r>
        <w:rPr>
          <w:rFonts w:hint="eastAsia" w:ascii="黑体" w:hAnsi="黑体" w:eastAsia="黑体" w:cs="黑体"/>
          <w:sz w:val="18"/>
          <w:szCs w:val="18"/>
          <w:lang w:val="en-US" w:eastAsia="zh-CN"/>
        </w:rPr>
        <w:t>注：</w:t>
      </w:r>
      <w:r>
        <w:rPr>
          <w:rFonts w:hint="eastAsia" w:ascii="宋体" w:hAnsi="宋体" w:eastAsia="宋体" w:cs="宋体"/>
          <w:sz w:val="18"/>
          <w:szCs w:val="18"/>
          <w:lang w:val="en-US" w:eastAsia="zh-CN"/>
        </w:rPr>
        <w:t>清客列次包括因需要救援故障、事故列车而清客的列车。</w:t>
      </w:r>
    </w:p>
    <w:p>
      <w:pPr>
        <w:pStyle w:val="80"/>
        <w:spacing w:before="120" w:after="120"/>
        <w:rPr>
          <w:rFonts w:hint="eastAsia"/>
        </w:rPr>
      </w:pPr>
      <w:bookmarkStart w:id="334" w:name="_Toc28129"/>
      <w:bookmarkStart w:id="335" w:name="_Toc291"/>
      <w:r>
        <w:rPr>
          <w:rFonts w:hint="eastAsia"/>
        </w:rPr>
        <w:t>清客频次</w:t>
      </w:r>
      <w:bookmarkEnd w:id="334"/>
      <w:bookmarkEnd w:id="335"/>
    </w:p>
    <w:p>
      <w:pPr>
        <w:pStyle w:val="233"/>
        <w:rPr>
          <w:szCs w:val="21"/>
        </w:rPr>
      </w:pPr>
      <w:r>
        <w:rPr>
          <w:rFonts w:hint="eastAsia"/>
          <w:szCs w:val="21"/>
        </w:rPr>
        <w:t>定义：统计期内，线路因发生故障、事故引起清客事件之间的平均运营车公里。</w:t>
      </w:r>
    </w:p>
    <w:p>
      <w:pPr>
        <w:pStyle w:val="233"/>
        <w:rPr>
          <w:szCs w:val="21"/>
        </w:rPr>
      </w:pPr>
      <w:r>
        <w:rPr>
          <w:rFonts w:hint="eastAsia"/>
          <w:szCs w:val="21"/>
        </w:rPr>
        <w:t>单位：万车公里（万列公里）。</w:t>
      </w:r>
    </w:p>
    <w:p>
      <w:pPr>
        <w:pStyle w:val="233"/>
        <w:rPr>
          <w:szCs w:val="21"/>
        </w:rPr>
      </w:pPr>
      <w:r>
        <w:rPr>
          <w:rFonts w:hint="eastAsia"/>
          <w:szCs w:val="21"/>
        </w:rPr>
        <w:t>计算方法：见式A.23。</w:t>
      </w:r>
    </w:p>
    <w:p>
      <w:pPr>
        <w:pStyle w:val="233"/>
        <w:jc w:val="right"/>
        <w:rPr>
          <w:szCs w:val="21"/>
        </w:rPr>
      </w:pPr>
      <m:oMath>
        <m:sSub>
          <m:sSubPr>
            <m:ctrlPr>
              <w:rPr>
                <w:rFonts w:ascii="Cambria Math" w:hAnsi="Cambria Math"/>
                <w:i/>
                <w:szCs w:val="21"/>
              </w:rPr>
            </m:ctrlPr>
          </m:sSubPr>
          <m:e>
            <m:r>
              <w:rPr>
                <w:rFonts w:ascii="Cambria Math" w:hAnsi="Cambria Math"/>
                <w:szCs w:val="21"/>
              </w:rPr>
              <m:t>R</m:t>
            </m:r>
            <m:ctrlPr>
              <w:rPr>
                <w:rFonts w:ascii="Cambria Math" w:hAnsi="Cambria Math"/>
                <w:i/>
                <w:szCs w:val="21"/>
              </w:rPr>
            </m:ctrlPr>
          </m:e>
          <m:sub>
            <m:r>
              <w:rPr>
                <w:rFonts w:ascii="Cambria Math" w:hAnsi="Cambria Math"/>
                <w:szCs w:val="21"/>
              </w:rPr>
              <m:t>7l</m:t>
            </m:r>
            <m:ctrlPr>
              <w:rPr>
                <w:rFonts w:ascii="Cambria Math" w:hAnsi="Cambria Math"/>
                <w:i/>
                <w:szCs w:val="21"/>
              </w:rPr>
            </m:ctrlPr>
          </m:sub>
        </m:sSub>
        <m:r>
          <w:rPr>
            <w:rFonts w:ascii="Cambria Math" w:hAnsi="Cambria Math"/>
            <w:szCs w:val="21"/>
          </w:rPr>
          <m:t>=</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S</m:t>
                </m:r>
                <m:ctrlPr>
                  <w:rPr>
                    <w:rFonts w:ascii="Cambria Math" w:hAnsi="Cambria Math"/>
                    <w:i/>
                    <w:szCs w:val="21"/>
                  </w:rPr>
                </m:ctrlPr>
              </m:e>
              <m:sub>
                <m:r>
                  <w:rPr>
                    <w:rFonts w:ascii="Cambria Math" w:hAnsi="Cambria Math"/>
                    <w:szCs w:val="21"/>
                  </w:rPr>
                  <m:t>1l</m:t>
                </m:r>
                <m:ctrlPr>
                  <w:rPr>
                    <w:rFonts w:ascii="Cambria Math" w:hAnsi="Cambria Math"/>
                    <w:i/>
                    <w:szCs w:val="21"/>
                  </w:rPr>
                </m:ctrlPr>
              </m:sub>
            </m:sSub>
            <m:ctrlPr>
              <w:rPr>
                <w:rFonts w:ascii="Cambria Math" w:hAnsi="Cambria Math"/>
                <w:i/>
                <w:szCs w:val="21"/>
              </w:rPr>
            </m:ctrlPr>
          </m:num>
          <m:den>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13l</m:t>
                </m:r>
                <m:ctrlPr>
                  <w:rPr>
                    <w:rFonts w:ascii="Cambria Math" w:hAnsi="Cambria Math"/>
                    <w:i/>
                    <w:szCs w:val="21"/>
                  </w:rPr>
                </m:ctrlPr>
              </m:sub>
            </m:sSub>
            <m:r>
              <w:rPr>
                <w:rFonts w:ascii="Cambria Math" w:hAnsi="Cambria Math"/>
                <w:szCs w:val="21"/>
              </w:rPr>
              <m:t>×</m:t>
            </m:r>
            <m:sSup>
              <m:sSupPr>
                <m:ctrlPr>
                  <w:rPr>
                    <w:rFonts w:ascii="Cambria Math" w:hAnsi="Cambria Math"/>
                    <w:i/>
                    <w:szCs w:val="21"/>
                  </w:rPr>
                </m:ctrlPr>
              </m:sSupPr>
              <m:e>
                <m:r>
                  <w:rPr>
                    <w:rFonts w:ascii="Cambria Math" w:hAnsi="Cambria Math"/>
                    <w:szCs w:val="21"/>
                  </w:rPr>
                  <m:t>10</m:t>
                </m:r>
                <m:ctrlPr>
                  <w:rPr>
                    <w:rFonts w:ascii="Cambria Math" w:hAnsi="Cambria Math"/>
                    <w:i/>
                    <w:szCs w:val="21"/>
                  </w:rPr>
                </m:ctrlPr>
              </m:e>
              <m:sup>
                <m:r>
                  <w:rPr>
                    <w:rFonts w:ascii="Cambria Math" w:hAnsi="Cambria Math"/>
                    <w:szCs w:val="21"/>
                  </w:rPr>
                  <m:t>4</m:t>
                </m:r>
                <m:ctrlPr>
                  <w:rPr>
                    <w:rFonts w:ascii="Cambria Math" w:hAnsi="Cambria Math"/>
                    <w:i/>
                    <w:szCs w:val="21"/>
                  </w:rPr>
                </m:ctrlPr>
              </m:sup>
            </m:sSup>
            <m:ctrlPr>
              <w:rPr>
                <w:rFonts w:ascii="Cambria Math" w:hAnsi="Cambria Math"/>
                <w:i/>
                <w:szCs w:val="21"/>
              </w:rPr>
            </m:ctrlPr>
          </m:den>
        </m:f>
      </m:oMath>
      <w:r>
        <w:rPr>
          <w:rFonts w:ascii="Cambria Math" w:hAnsi="Cambria Math"/>
          <w:i/>
          <w:szCs w:val="21"/>
        </w:rPr>
        <w:t>…</w:t>
      </w:r>
      <w:r>
        <w:rPr>
          <w:rStyle w:val="244"/>
        </w:rPr>
        <w:t>……………………………………（A</w:t>
      </w:r>
      <w:r>
        <w:rPr>
          <w:rFonts w:hint="eastAsia" w:hAnsi="Cambria Math"/>
          <w:szCs w:val="21"/>
        </w:rPr>
        <w:t>.23）</w:t>
      </w:r>
    </w:p>
    <w:p>
      <w:pPr>
        <w:pStyle w:val="233"/>
        <w:rPr>
          <w:szCs w:val="21"/>
        </w:rPr>
      </w:pPr>
      <w:r>
        <w:rPr>
          <w:rFonts w:hint="eastAsia"/>
          <w:szCs w:val="21"/>
        </w:rPr>
        <w:t>式中：</w:t>
      </w:r>
    </w:p>
    <w:p>
      <w:pPr>
        <w:pStyle w:val="233"/>
        <w:rPr>
          <w:rFonts w:hint="eastAsia" w:hAnsi="Cambria Math"/>
          <w:szCs w:val="21"/>
        </w:rPr>
      </w:pPr>
      <m:oMath>
        <m:sSub>
          <m:sSubPr>
            <m:ctrlPr>
              <w:rPr>
                <w:rFonts w:ascii="Cambria Math" w:hAnsi="Cambria Math"/>
                <w:i/>
                <w:szCs w:val="21"/>
              </w:rPr>
            </m:ctrlPr>
          </m:sSubPr>
          <m:e>
            <m:r>
              <w:rPr>
                <w:rFonts w:ascii="Cambria Math" w:hAnsi="Cambria Math"/>
                <w:szCs w:val="21"/>
              </w:rPr>
              <m:t>R</m:t>
            </m:r>
            <m:ctrlPr>
              <w:rPr>
                <w:rFonts w:ascii="Cambria Math" w:hAnsi="Cambria Math"/>
                <w:i/>
                <w:szCs w:val="21"/>
              </w:rPr>
            </m:ctrlPr>
          </m:e>
          <m:sub>
            <m:r>
              <w:rPr>
                <w:rFonts w:ascii="Cambria Math" w:hAnsi="Cambria Math"/>
                <w:szCs w:val="21"/>
              </w:rPr>
              <m:t>7l</m:t>
            </m:r>
            <m:ctrlPr>
              <w:rPr>
                <w:rFonts w:ascii="Cambria Math" w:hAnsi="Cambria Math"/>
                <w:i/>
                <w:szCs w:val="21"/>
              </w:rPr>
            </m:ctrlPr>
          </m:sub>
        </m:sSub>
      </m:oMath>
      <w:r>
        <w:rPr>
          <w:rFonts w:hint="eastAsia" w:hAnsi="Cambria Math"/>
          <w:szCs w:val="21"/>
        </w:rPr>
        <w:t xml:space="preserve"> ——线路清客频次；</w:t>
      </w:r>
    </w:p>
    <w:p>
      <w:pPr>
        <w:pStyle w:val="233"/>
        <w:rPr>
          <w:szCs w:val="21"/>
        </w:rPr>
      </w:pPr>
      <m:oMath>
        <m:sSub>
          <m:sSubPr>
            <m:ctrlPr>
              <w:rPr>
                <w:rFonts w:ascii="Cambria Math" w:hAnsi="Cambria Math"/>
                <w:i/>
                <w:szCs w:val="21"/>
              </w:rPr>
            </m:ctrlPr>
          </m:sSubPr>
          <m:e>
            <m:r>
              <w:rPr>
                <w:rFonts w:ascii="Cambria Math" w:hAnsi="Cambria Math"/>
                <w:szCs w:val="21"/>
              </w:rPr>
              <m:t>Q</m:t>
            </m:r>
            <m:ctrlPr>
              <w:rPr>
                <w:rFonts w:ascii="Cambria Math" w:hAnsi="Cambria Math"/>
                <w:i/>
                <w:szCs w:val="21"/>
              </w:rPr>
            </m:ctrlPr>
          </m:e>
          <m:sub>
            <m:r>
              <w:rPr>
                <w:rFonts w:ascii="Cambria Math" w:hAnsi="Cambria Math"/>
                <w:szCs w:val="21"/>
              </w:rPr>
              <m:t>13l</m:t>
            </m:r>
            <m:ctrlPr>
              <w:rPr>
                <w:rFonts w:ascii="Cambria Math" w:hAnsi="Cambria Math"/>
                <w:i/>
                <w:szCs w:val="21"/>
              </w:rPr>
            </m:ctrlPr>
          </m:sub>
        </m:sSub>
      </m:oMath>
      <w:r>
        <w:rPr>
          <w:rFonts w:hint="eastAsia" w:hAnsi="Cambria Math"/>
          <w:szCs w:val="21"/>
        </w:rPr>
        <w:t xml:space="preserve"> ——线路</w:t>
      </w:r>
      <w:r>
        <w:rPr>
          <w:rFonts w:hint="eastAsia"/>
          <w:szCs w:val="21"/>
        </w:rPr>
        <w:t>清客列次。</w:t>
      </w:r>
    </w:p>
    <w:p>
      <w:pPr>
        <w:pStyle w:val="80"/>
        <w:spacing w:before="120" w:after="120"/>
        <w:rPr>
          <w:rFonts w:hint="eastAsia"/>
        </w:rPr>
      </w:pPr>
      <w:bookmarkStart w:id="336" w:name="_Toc4517"/>
      <w:bookmarkStart w:id="337" w:name="_Toc4320"/>
      <w:r>
        <w:rPr>
          <w:rFonts w:hint="eastAsia"/>
        </w:rPr>
        <w:t>救援列次</w:t>
      </w:r>
      <w:bookmarkEnd w:id="336"/>
      <w:bookmarkEnd w:id="337"/>
    </w:p>
    <w:p>
      <w:pPr>
        <w:pStyle w:val="233"/>
        <w:ind w:left="1050" w:leftChars="200" w:hanging="630" w:hangingChars="300"/>
        <w:rPr>
          <w:szCs w:val="21"/>
        </w:rPr>
      </w:pPr>
      <w:r>
        <w:rPr>
          <w:rFonts w:hint="eastAsia"/>
          <w:szCs w:val="21"/>
        </w:rPr>
        <w:t>定义：统计期内，在线路正线上，列车因故障（包括列车故障和其他设备故障）需另外的列车进行牵引或推进的次数。</w:t>
      </w:r>
    </w:p>
    <w:p>
      <w:pPr>
        <w:pStyle w:val="233"/>
        <w:rPr>
          <w:rFonts w:hint="eastAsia" w:hAnsi="Cambria Math"/>
          <w:szCs w:val="21"/>
        </w:rPr>
      </w:pPr>
      <w:r>
        <w:rPr>
          <w:rFonts w:hint="eastAsia"/>
          <w:szCs w:val="21"/>
        </w:rPr>
        <w:t>单位：列次。</w:t>
      </w:r>
    </w:p>
    <w:p>
      <w:pPr>
        <w:pStyle w:val="80"/>
        <w:spacing w:before="120" w:after="120"/>
        <w:rPr>
          <w:rFonts w:hint="eastAsia"/>
        </w:rPr>
      </w:pPr>
      <w:bookmarkStart w:id="338" w:name="_Toc9840"/>
      <w:bookmarkStart w:id="339" w:name="_Toc31786"/>
      <w:r>
        <w:rPr>
          <w:rFonts w:hint="eastAsia"/>
        </w:rPr>
        <w:t>未完成单程</w:t>
      </w:r>
      <w:bookmarkEnd w:id="338"/>
      <w:r>
        <w:rPr>
          <w:rFonts w:hint="eastAsia"/>
          <w:lang w:eastAsia="zh-CN"/>
        </w:rPr>
        <w:t>列次</w:t>
      </w:r>
      <w:bookmarkEnd w:id="339"/>
    </w:p>
    <w:p>
      <w:pPr>
        <w:pStyle w:val="233"/>
        <w:ind w:left="1050" w:leftChars="200" w:hanging="630" w:hangingChars="300"/>
        <w:rPr>
          <w:szCs w:val="21"/>
        </w:rPr>
      </w:pPr>
      <w:r>
        <w:rPr>
          <w:rFonts w:hint="eastAsia"/>
          <w:szCs w:val="21"/>
        </w:rPr>
        <w:t>定义：统计期内，因车辆、乘务（不含运营调整）等原因致使正在运行列车未完成线路列车运行图所规定的任务而退出正线运营的列数。</w:t>
      </w:r>
    </w:p>
    <w:p>
      <w:pPr>
        <w:pStyle w:val="233"/>
        <w:rPr>
          <w:szCs w:val="21"/>
        </w:rPr>
      </w:pPr>
      <w:r>
        <w:rPr>
          <w:rFonts w:hint="eastAsia"/>
          <w:szCs w:val="21"/>
        </w:rPr>
        <w:t>单位：列次。</w:t>
      </w:r>
    </w:p>
    <w:p>
      <w:pPr>
        <w:pStyle w:val="233"/>
        <w:keepNext w:val="0"/>
        <w:keepLines w:val="0"/>
        <w:pageBreakBefore w:val="0"/>
        <w:widowControl/>
        <w:kinsoku/>
        <w:wordWrap/>
        <w:overflowPunct/>
        <w:topLinePunct w:val="0"/>
        <w:autoSpaceDE w:val="0"/>
        <w:autoSpaceDN w:val="0"/>
        <w:bidi w:val="0"/>
        <w:adjustRightInd/>
        <w:snapToGrid/>
        <w:ind w:left="870" w:leftChars="200" w:hanging="450" w:hangingChars="250"/>
        <w:textAlignment w:val="auto"/>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注：</w:t>
      </w:r>
      <w:r>
        <w:rPr>
          <w:rFonts w:hint="eastAsia" w:ascii="宋体" w:hAnsi="宋体" w:eastAsia="宋体" w:cs="宋体"/>
          <w:sz w:val="18"/>
          <w:szCs w:val="18"/>
          <w:lang w:val="en-US" w:eastAsia="zh-CN"/>
        </w:rPr>
        <w:t>未完成单程又称掉线或下线。</w:t>
      </w:r>
    </w:p>
    <w:p>
      <w:pPr>
        <w:pStyle w:val="58"/>
      </w:pPr>
    </w:p>
    <w:p>
      <w:pPr>
        <w:pStyle w:val="58"/>
      </w:pPr>
    </w:p>
    <w:p>
      <w:pPr>
        <w:pStyle w:val="58"/>
      </w:pPr>
    </w:p>
    <w:p>
      <w:pPr>
        <w:pStyle w:val="58"/>
        <w:sectPr>
          <w:pgSz w:w="11906" w:h="16838"/>
          <w:pgMar w:top="2410" w:right="1134" w:bottom="1134" w:left="1134" w:header="1418" w:footer="1134" w:gutter="284"/>
          <w:cols w:space="425" w:num="1"/>
          <w:formProt w:val="0"/>
          <w:docGrid w:linePitch="312" w:charSpace="0"/>
        </w:sectPr>
      </w:pPr>
    </w:p>
    <w:bookmarkEnd w:id="20"/>
    <w:p>
      <w:pPr>
        <w:pStyle w:val="65"/>
        <w:spacing w:before="96" w:after="120"/>
      </w:pPr>
      <w:bookmarkStart w:id="340" w:name="_Toc82621614"/>
      <w:bookmarkStart w:id="341" w:name="_Toc27242"/>
      <w:bookmarkStart w:id="342" w:name="BookMark6"/>
      <w:r>
        <w:rPr>
          <w:rFonts w:hint="eastAsia"/>
          <w:spacing w:val="105"/>
        </w:rPr>
        <w:t>参考文</w:t>
      </w:r>
      <w:r>
        <w:rPr>
          <w:rFonts w:hint="eastAsia"/>
        </w:rPr>
        <w:t>献</w:t>
      </w:r>
      <w:bookmarkEnd w:id="340"/>
      <w:bookmarkEnd w:id="341"/>
    </w:p>
    <w:p>
      <w:pPr>
        <w:pStyle w:val="233"/>
      </w:pPr>
      <w:bookmarkStart w:id="343" w:name="_Toc26087"/>
      <w:bookmarkStart w:id="344" w:name="_Toc87017999"/>
      <w:r>
        <w:rPr>
          <w:rFonts w:hint="eastAsia"/>
        </w:rPr>
        <w:t xml:space="preserve">[1] </w:t>
      </w:r>
      <w:r>
        <w:t xml:space="preserve"> </w:t>
      </w:r>
      <w:r>
        <w:rPr>
          <w:rFonts w:hint="eastAsia"/>
        </w:rPr>
        <w:t>交运规〔2019〕14号  城市轨道交通行车组织管理办法</w:t>
      </w:r>
      <w:bookmarkEnd w:id="343"/>
    </w:p>
    <w:p>
      <w:pPr>
        <w:pStyle w:val="233"/>
      </w:pPr>
      <w:bookmarkStart w:id="345" w:name="_Toc30633"/>
      <w:r>
        <w:rPr>
          <w:rFonts w:hint="eastAsia"/>
        </w:rPr>
        <w:t>[</w:t>
      </w:r>
      <w:r>
        <w:t>2</w:t>
      </w:r>
      <w:r>
        <w:rPr>
          <w:rFonts w:hint="eastAsia"/>
        </w:rPr>
        <w:t xml:space="preserve">] </w:t>
      </w:r>
      <w:r>
        <w:t xml:space="preserve"> </w:t>
      </w:r>
      <w:r>
        <w:rPr>
          <w:rFonts w:hint="eastAsia"/>
        </w:rPr>
        <w:t>交通运输部令2018年第8号  城市轨道交通运营管理规定</w:t>
      </w:r>
      <w:bookmarkEnd w:id="344"/>
      <w:bookmarkEnd w:id="345"/>
    </w:p>
    <w:p>
      <w:pPr>
        <w:pStyle w:val="233"/>
      </w:pPr>
      <w:bookmarkStart w:id="346" w:name="_Toc18497"/>
      <w:r>
        <w:rPr>
          <w:rFonts w:hint="eastAsia"/>
        </w:rPr>
        <w:t>[</w:t>
      </w:r>
      <w:r>
        <w:rPr>
          <w:rFonts w:hint="eastAsia"/>
          <w:lang w:val="en-US" w:eastAsia="zh-CN"/>
        </w:rPr>
        <w:t>3</w:t>
      </w:r>
      <w:r>
        <w:rPr>
          <w:rFonts w:hint="eastAsia"/>
        </w:rPr>
        <w:t xml:space="preserve">]  </w:t>
      </w:r>
      <w:r>
        <w:t>GB/T 30013  城市轨道交通试运营基本条件</w:t>
      </w:r>
      <w:bookmarkEnd w:id="346"/>
    </w:p>
    <w:p>
      <w:pPr>
        <w:pStyle w:val="233"/>
      </w:pPr>
      <w:bookmarkStart w:id="347" w:name="_Toc15816"/>
      <w:r>
        <w:rPr>
          <w:rFonts w:hint="eastAsia"/>
        </w:rPr>
        <w:t>[</w:t>
      </w:r>
      <w:r>
        <w:rPr>
          <w:rFonts w:hint="eastAsia"/>
          <w:lang w:val="en-US" w:eastAsia="zh-CN"/>
        </w:rPr>
        <w:t>4</w:t>
      </w:r>
      <w:r>
        <w:rPr>
          <w:rFonts w:hint="eastAsia"/>
        </w:rPr>
        <w:t>]  GB/T</w:t>
      </w:r>
      <w:r>
        <w:t xml:space="preserve"> 33668</w:t>
      </w:r>
      <w:r>
        <w:rPr>
          <w:rFonts w:hint="eastAsia"/>
        </w:rPr>
        <w:t xml:space="preserve">  地铁</w:t>
      </w:r>
      <w:r>
        <w:t>安全疏散规范</w:t>
      </w:r>
      <w:bookmarkEnd w:id="347"/>
    </w:p>
    <w:p>
      <w:pPr>
        <w:pStyle w:val="233"/>
      </w:pPr>
      <w:bookmarkStart w:id="348" w:name="_Toc12024"/>
      <w:r>
        <w:rPr>
          <w:rFonts w:hint="eastAsia"/>
        </w:rPr>
        <w:t>[</w:t>
      </w:r>
      <w:r>
        <w:rPr>
          <w:rFonts w:hint="eastAsia"/>
          <w:lang w:val="en-US" w:eastAsia="zh-CN"/>
        </w:rPr>
        <w:t>5</w:t>
      </w:r>
      <w:r>
        <w:rPr>
          <w:rFonts w:hint="eastAsia"/>
        </w:rPr>
        <w:t>]  GB/T 50</w:t>
      </w:r>
      <w:r>
        <w:t>833</w:t>
      </w:r>
      <w:r>
        <w:rPr>
          <w:rFonts w:hint="eastAsia"/>
        </w:rPr>
        <w:t xml:space="preserve">  城市轨道交通工程基本</w:t>
      </w:r>
      <w:r>
        <w:t>术语标准</w:t>
      </w:r>
      <w:bookmarkEnd w:id="348"/>
    </w:p>
    <w:p>
      <w:pPr>
        <w:pStyle w:val="233"/>
      </w:pPr>
      <w:bookmarkStart w:id="349" w:name="_Toc20650"/>
      <w:r>
        <w:rPr>
          <w:rFonts w:hint="eastAsia"/>
        </w:rPr>
        <w:t>[</w:t>
      </w:r>
      <w:r>
        <w:rPr>
          <w:rFonts w:hint="eastAsia"/>
          <w:lang w:val="en-US" w:eastAsia="zh-CN"/>
        </w:rPr>
        <w:t>6</w:t>
      </w:r>
      <w:r>
        <w:rPr>
          <w:rFonts w:hint="eastAsia"/>
        </w:rPr>
        <w:t>]  JT/T</w:t>
      </w:r>
      <w:r>
        <w:t xml:space="preserve"> </w:t>
      </w:r>
      <w:r>
        <w:rPr>
          <w:rFonts w:hint="eastAsia"/>
        </w:rPr>
        <w:t>1185</w:t>
      </w:r>
      <w:r>
        <w:t xml:space="preserve">  </w:t>
      </w:r>
      <w:r>
        <w:rPr>
          <w:rFonts w:hint="eastAsia"/>
        </w:rPr>
        <w:t>城市</w:t>
      </w:r>
      <w:r>
        <w:t>轨道交通行车组织规则</w:t>
      </w:r>
      <w:bookmarkEnd w:id="349"/>
    </w:p>
    <w:p>
      <w:pPr>
        <w:pStyle w:val="58"/>
        <w:ind w:firstLine="420"/>
      </w:pPr>
    </w:p>
    <w:bookmarkEnd w:id="342"/>
    <w:p>
      <w:pPr>
        <w:pStyle w:val="58"/>
        <w:ind w:firstLine="0" w:firstLineChars="0"/>
        <w:jc w:val="center"/>
      </w:pPr>
      <w:bookmarkStart w:id="350" w:name="BookMark8"/>
      <w:r>
        <w:rPr>
          <w:rFonts w:hint="eastAsia"/>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50"/>
    </w:p>
    <w:sectPr>
      <w:pgSz w:w="11906" w:h="16838"/>
      <w:pgMar w:top="2410" w:right="1134" w:bottom="1134" w:left="1134" w:header="1418" w:footer="1134" w:gutter="284"/>
      <w:cols w:space="425" w:num="1"/>
      <w:formProt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A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23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wordWrap w:val="0"/>
      <w:rPr>
        <w:rFonts w:hint="default" w:eastAsia="黑体"/>
        <w:lang w:val="en-US" w:eastAsia="zh-CN"/>
      </w:rPr>
    </w:pPr>
    <w:r>
      <w:rPr>
        <w:rFonts w:hint="eastAsia"/>
        <w:lang w:val="en-US" w:eastAsia="zh-CN"/>
      </w:rPr>
      <w:t>T/URTA XXXX-2022</w:t>
    </w:r>
  </w:p>
  <w:p>
    <w:pPr>
      <w:pStyle w:val="1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F6DD97"/>
    <w:multiLevelType w:val="multilevel"/>
    <w:tmpl w:val="B8F6DD97"/>
    <w:lvl w:ilvl="0" w:tentative="0">
      <w:start w:val="1"/>
      <w:numFmt w:val="none"/>
      <w:pStyle w:val="246"/>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
    <w:nsid w:val="024D7F72"/>
    <w:multiLevelType w:val="multilevel"/>
    <w:tmpl w:val="024D7F72"/>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2">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4724B00"/>
    <w:multiLevelType w:val="multilevel"/>
    <w:tmpl w:val="04724B00"/>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5">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6">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8">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0">
    <w:nsid w:val="11616BAC"/>
    <w:multiLevelType w:val="multilevel"/>
    <w:tmpl w:val="11616BAC"/>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11">
    <w:nsid w:val="12DA724F"/>
    <w:multiLevelType w:val="multilevel"/>
    <w:tmpl w:val="12DA724F"/>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12">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4">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5">
    <w:nsid w:val="1FC91163"/>
    <w:multiLevelType w:val="multilevel"/>
    <w:tmpl w:val="1FC91163"/>
    <w:lvl w:ilvl="0" w:tentative="0">
      <w:start w:val="1"/>
      <w:numFmt w:val="decimal"/>
      <w:pStyle w:val="2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4"/>
      <w:suff w:val="nothing"/>
      <w:lvlText w:val="%1.%2　"/>
      <w:lvlJc w:val="left"/>
      <w:pPr>
        <w:ind w:left="709"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37"/>
      <w:suff w:val="nothing"/>
      <w:lvlText w:val="%1.%2.%3　"/>
      <w:lvlJc w:val="left"/>
      <w:pPr>
        <w:ind w:left="0" w:firstLine="0"/>
      </w:pPr>
      <w:rPr>
        <w:rFonts w:hint="eastAsia" w:ascii="黑体" w:hAnsi="Times New Roman" w:eastAsia="黑体"/>
        <w:b w:val="0"/>
        <w:i w:val="0"/>
        <w:sz w:val="21"/>
      </w:rPr>
    </w:lvl>
    <w:lvl w:ilvl="3" w:tentative="0">
      <w:start w:val="1"/>
      <w:numFmt w:val="decimal"/>
      <w:pStyle w:val="240"/>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6">
    <w:nsid w:val="24AD2FAC"/>
    <w:multiLevelType w:val="multilevel"/>
    <w:tmpl w:val="24AD2FAC"/>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17">
    <w:nsid w:val="277F5E07"/>
    <w:multiLevelType w:val="multilevel"/>
    <w:tmpl w:val="277F5E07"/>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18">
    <w:nsid w:val="280E501A"/>
    <w:multiLevelType w:val="multilevel"/>
    <w:tmpl w:val="280E501A"/>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19">
    <w:nsid w:val="28190872"/>
    <w:multiLevelType w:val="multilevel"/>
    <w:tmpl w:val="28190872"/>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20">
    <w:nsid w:val="284C139D"/>
    <w:multiLevelType w:val="multilevel"/>
    <w:tmpl w:val="284C139D"/>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21">
    <w:nsid w:val="29C34892"/>
    <w:multiLevelType w:val="multilevel"/>
    <w:tmpl w:val="29C34892"/>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22">
    <w:nsid w:val="2AE07F4D"/>
    <w:multiLevelType w:val="multilevel"/>
    <w:tmpl w:val="2AE07F4D"/>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23">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4">
    <w:nsid w:val="2EAB0D4A"/>
    <w:multiLevelType w:val="multilevel"/>
    <w:tmpl w:val="2EAB0D4A"/>
    <w:lvl w:ilvl="0" w:tentative="0">
      <w:start w:val="1"/>
      <w:numFmt w:val="decimal"/>
      <w:lvlText w:val="%1)"/>
      <w:lvlJc w:val="left"/>
      <w:pPr>
        <w:ind w:left="1146" w:hanging="360"/>
      </w:pPr>
      <w:rPr>
        <w:rFonts w:hint="default"/>
      </w:rPr>
    </w:lvl>
    <w:lvl w:ilvl="1" w:tentative="0">
      <w:start w:val="1"/>
      <w:numFmt w:val="lowerLetter"/>
      <w:lvlText w:val="%2)"/>
      <w:lvlJc w:val="left"/>
      <w:pPr>
        <w:ind w:left="1626" w:hanging="420"/>
      </w:pPr>
    </w:lvl>
    <w:lvl w:ilvl="2" w:tentative="0">
      <w:start w:val="1"/>
      <w:numFmt w:val="lowerRoman"/>
      <w:lvlText w:val="%3."/>
      <w:lvlJc w:val="right"/>
      <w:pPr>
        <w:ind w:left="2046" w:hanging="420"/>
      </w:pPr>
    </w:lvl>
    <w:lvl w:ilvl="3" w:tentative="0">
      <w:start w:val="1"/>
      <w:numFmt w:val="decimal"/>
      <w:lvlText w:val="%4."/>
      <w:lvlJc w:val="left"/>
      <w:pPr>
        <w:ind w:left="2466" w:hanging="420"/>
      </w:pPr>
    </w:lvl>
    <w:lvl w:ilvl="4" w:tentative="0">
      <w:start w:val="1"/>
      <w:numFmt w:val="lowerLetter"/>
      <w:lvlText w:val="%5)"/>
      <w:lvlJc w:val="left"/>
      <w:pPr>
        <w:ind w:left="2886" w:hanging="420"/>
      </w:pPr>
    </w:lvl>
    <w:lvl w:ilvl="5" w:tentative="0">
      <w:start w:val="1"/>
      <w:numFmt w:val="lowerRoman"/>
      <w:lvlText w:val="%6."/>
      <w:lvlJc w:val="right"/>
      <w:pPr>
        <w:ind w:left="3306" w:hanging="420"/>
      </w:pPr>
    </w:lvl>
    <w:lvl w:ilvl="6" w:tentative="0">
      <w:start w:val="1"/>
      <w:numFmt w:val="decimal"/>
      <w:lvlText w:val="%7."/>
      <w:lvlJc w:val="left"/>
      <w:pPr>
        <w:ind w:left="3726" w:hanging="420"/>
      </w:pPr>
    </w:lvl>
    <w:lvl w:ilvl="7" w:tentative="0">
      <w:start w:val="1"/>
      <w:numFmt w:val="lowerLetter"/>
      <w:lvlText w:val="%8)"/>
      <w:lvlJc w:val="left"/>
      <w:pPr>
        <w:ind w:left="4146" w:hanging="420"/>
      </w:pPr>
    </w:lvl>
    <w:lvl w:ilvl="8" w:tentative="0">
      <w:start w:val="1"/>
      <w:numFmt w:val="lowerRoman"/>
      <w:lvlText w:val="%9."/>
      <w:lvlJc w:val="right"/>
      <w:pPr>
        <w:ind w:left="4566" w:hanging="420"/>
      </w:pPr>
    </w:lvl>
  </w:abstractNum>
  <w:abstractNum w:abstractNumId="25">
    <w:nsid w:val="2FE3436C"/>
    <w:multiLevelType w:val="multilevel"/>
    <w:tmpl w:val="2FE3436C"/>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26">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33B153D1"/>
    <w:multiLevelType w:val="multilevel"/>
    <w:tmpl w:val="33B153D1"/>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28">
    <w:nsid w:val="374A5662"/>
    <w:multiLevelType w:val="multilevel"/>
    <w:tmpl w:val="374A5662"/>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29">
    <w:nsid w:val="3A657116"/>
    <w:multiLevelType w:val="multilevel"/>
    <w:tmpl w:val="3A657116"/>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30">
    <w:nsid w:val="3B7704EA"/>
    <w:multiLevelType w:val="multilevel"/>
    <w:tmpl w:val="3B7704EA"/>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31">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2">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3">
    <w:nsid w:val="490C1251"/>
    <w:multiLevelType w:val="multilevel"/>
    <w:tmpl w:val="490C1251"/>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34">
    <w:nsid w:val="49ED4F64"/>
    <w:multiLevelType w:val="multilevel"/>
    <w:tmpl w:val="49ED4F64"/>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3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6">
    <w:nsid w:val="4C3B43B1"/>
    <w:multiLevelType w:val="multilevel"/>
    <w:tmpl w:val="4C3B43B1"/>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37">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8">
    <w:nsid w:val="4EE203A2"/>
    <w:multiLevelType w:val="multilevel"/>
    <w:tmpl w:val="4EE203A2"/>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39">
    <w:nsid w:val="51E87386"/>
    <w:multiLevelType w:val="multilevel"/>
    <w:tmpl w:val="51E87386"/>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40">
    <w:nsid w:val="540E5FBA"/>
    <w:multiLevelType w:val="multilevel"/>
    <w:tmpl w:val="540E5FBA"/>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41">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42">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3">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4">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5">
    <w:nsid w:val="56AE2B1A"/>
    <w:multiLevelType w:val="multilevel"/>
    <w:tmpl w:val="56AE2B1A"/>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46">
    <w:nsid w:val="5C417EBE"/>
    <w:multiLevelType w:val="multilevel"/>
    <w:tmpl w:val="5C417EBE"/>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47">
    <w:nsid w:val="5EA52F8E"/>
    <w:multiLevelType w:val="multilevel"/>
    <w:tmpl w:val="5EA52F8E"/>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48">
    <w:nsid w:val="5F9232DB"/>
    <w:multiLevelType w:val="multilevel"/>
    <w:tmpl w:val="5F9232DB"/>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49">
    <w:nsid w:val="63AF7EBF"/>
    <w:multiLevelType w:val="multilevel"/>
    <w:tmpl w:val="63AF7EBF"/>
    <w:lvl w:ilvl="0" w:tentative="0">
      <w:start w:val="1"/>
      <w:numFmt w:val="decimal"/>
      <w:pStyle w:val="243"/>
      <w:suff w:val="nothing"/>
      <w:lvlText w:val="表%1　"/>
      <w:lvlJc w:val="left"/>
      <w:pPr>
        <w:ind w:left="4820" w:firstLine="0"/>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5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52">
    <w:nsid w:val="64A857DD"/>
    <w:multiLevelType w:val="multilevel"/>
    <w:tmpl w:val="64A857DD"/>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5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5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5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9">
    <w:nsid w:val="6D257866"/>
    <w:multiLevelType w:val="multilevel"/>
    <w:tmpl w:val="6D257866"/>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60">
    <w:nsid w:val="6D6D3716"/>
    <w:multiLevelType w:val="multilevel"/>
    <w:tmpl w:val="6D6D3716"/>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61">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62">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63">
    <w:nsid w:val="74256E57"/>
    <w:multiLevelType w:val="multilevel"/>
    <w:tmpl w:val="74256E57"/>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64">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5">
    <w:nsid w:val="7D4A605F"/>
    <w:multiLevelType w:val="multilevel"/>
    <w:tmpl w:val="7D4A605F"/>
    <w:lvl w:ilvl="0" w:tentative="0">
      <w:start w:val="1"/>
      <w:numFmt w:val="lowerLetter"/>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num w:numId="1">
    <w:abstractNumId w:val="2"/>
  </w:num>
  <w:num w:numId="2">
    <w:abstractNumId w:val="58"/>
  </w:num>
  <w:num w:numId="3">
    <w:abstractNumId w:val="8"/>
  </w:num>
  <w:num w:numId="4">
    <w:abstractNumId w:val="54"/>
  </w:num>
  <w:num w:numId="5">
    <w:abstractNumId w:val="43"/>
  </w:num>
  <w:num w:numId="6">
    <w:abstractNumId w:val="32"/>
  </w:num>
  <w:num w:numId="7">
    <w:abstractNumId w:val="13"/>
  </w:num>
  <w:num w:numId="8">
    <w:abstractNumId w:val="6"/>
  </w:num>
  <w:num w:numId="9">
    <w:abstractNumId w:val="14"/>
  </w:num>
  <w:num w:numId="10">
    <w:abstractNumId w:val="41"/>
  </w:num>
  <w:num w:numId="11">
    <w:abstractNumId w:val="56"/>
  </w:num>
  <w:num w:numId="12">
    <w:abstractNumId w:val="26"/>
  </w:num>
  <w:num w:numId="13">
    <w:abstractNumId w:val="31"/>
  </w:num>
  <w:num w:numId="14">
    <w:abstractNumId w:val="12"/>
  </w:num>
  <w:num w:numId="15">
    <w:abstractNumId w:val="44"/>
  </w:num>
  <w:num w:numId="16">
    <w:abstractNumId w:val="51"/>
  </w:num>
  <w:num w:numId="17">
    <w:abstractNumId w:val="42"/>
  </w:num>
  <w:num w:numId="18">
    <w:abstractNumId w:val="62"/>
  </w:num>
  <w:num w:numId="19">
    <w:abstractNumId w:val="37"/>
  </w:num>
  <w:num w:numId="20">
    <w:abstractNumId w:val="3"/>
  </w:num>
  <w:num w:numId="21">
    <w:abstractNumId w:val="23"/>
  </w:num>
  <w:num w:numId="22">
    <w:abstractNumId w:val="64"/>
  </w:num>
  <w:num w:numId="23">
    <w:abstractNumId w:val="50"/>
  </w:num>
  <w:num w:numId="24">
    <w:abstractNumId w:val="9"/>
  </w:num>
  <w:num w:numId="25">
    <w:abstractNumId w:val="57"/>
  </w:num>
  <w:num w:numId="26">
    <w:abstractNumId w:val="61"/>
  </w:num>
  <w:num w:numId="27">
    <w:abstractNumId w:val="5"/>
  </w:num>
  <w:num w:numId="28">
    <w:abstractNumId w:val="7"/>
  </w:num>
  <w:num w:numId="29">
    <w:abstractNumId w:val="35"/>
  </w:num>
  <w:num w:numId="30">
    <w:abstractNumId w:val="55"/>
  </w:num>
  <w:num w:numId="31">
    <w:abstractNumId w:val="53"/>
  </w:num>
  <w:num w:numId="32">
    <w:abstractNumId w:val="15"/>
  </w:num>
  <w:num w:numId="33">
    <w:abstractNumId w:val="49"/>
  </w:num>
  <w:num w:numId="34">
    <w:abstractNumId w:val="0"/>
  </w:num>
  <w:num w:numId="35">
    <w:abstractNumId w:val="36"/>
  </w:num>
  <w:num w:numId="36">
    <w:abstractNumId w:val="45"/>
  </w:num>
  <w:num w:numId="37">
    <w:abstractNumId w:val="27"/>
  </w:num>
  <w:num w:numId="38">
    <w:abstractNumId w:val="17"/>
  </w:num>
  <w:num w:numId="39">
    <w:abstractNumId w:val="10"/>
  </w:num>
  <w:num w:numId="40">
    <w:abstractNumId w:val="25"/>
  </w:num>
  <w:num w:numId="41">
    <w:abstractNumId w:val="1"/>
  </w:num>
  <w:num w:numId="42">
    <w:abstractNumId w:val="33"/>
  </w:num>
  <w:num w:numId="43">
    <w:abstractNumId w:val="20"/>
  </w:num>
  <w:num w:numId="44">
    <w:abstractNumId w:val="47"/>
  </w:num>
  <w:num w:numId="45">
    <w:abstractNumId w:val="46"/>
  </w:num>
  <w:num w:numId="46">
    <w:abstractNumId w:val="29"/>
  </w:num>
  <w:num w:numId="47">
    <w:abstractNumId w:val="21"/>
  </w:num>
  <w:num w:numId="48">
    <w:abstractNumId w:val="59"/>
  </w:num>
  <w:num w:numId="49">
    <w:abstractNumId w:val="52"/>
  </w:num>
  <w:num w:numId="50">
    <w:abstractNumId w:val="30"/>
  </w:num>
  <w:num w:numId="51">
    <w:abstractNumId w:val="34"/>
  </w:num>
  <w:num w:numId="52">
    <w:abstractNumId w:val="16"/>
  </w:num>
  <w:num w:numId="53">
    <w:abstractNumId w:val="39"/>
  </w:num>
  <w:num w:numId="54">
    <w:abstractNumId w:val="63"/>
  </w:num>
  <w:num w:numId="55">
    <w:abstractNumId w:val="22"/>
  </w:num>
  <w:num w:numId="56">
    <w:abstractNumId w:val="48"/>
  </w:num>
  <w:num w:numId="57">
    <w:abstractNumId w:val="24"/>
  </w:num>
  <w:num w:numId="58">
    <w:abstractNumId w:val="28"/>
  </w:num>
  <w:num w:numId="59">
    <w:abstractNumId w:val="19"/>
  </w:num>
  <w:num w:numId="60">
    <w:abstractNumId w:val="11"/>
  </w:num>
  <w:num w:numId="61">
    <w:abstractNumId w:val="18"/>
  </w:num>
  <w:num w:numId="62">
    <w:abstractNumId w:val="65"/>
  </w:num>
  <w:num w:numId="63">
    <w:abstractNumId w:val="38"/>
  </w:num>
  <w:num w:numId="64">
    <w:abstractNumId w:val="40"/>
  </w:num>
  <w:num w:numId="65">
    <w:abstractNumId w:val="4"/>
  </w:num>
  <w:num w:numId="66">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E0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DBE"/>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281"/>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4EB5"/>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194"/>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0AD9"/>
    <w:rsid w:val="002F30E0"/>
    <w:rsid w:val="002F35E4"/>
    <w:rsid w:val="002F3730"/>
    <w:rsid w:val="002F38E1"/>
    <w:rsid w:val="002F7AF6"/>
    <w:rsid w:val="00300E63"/>
    <w:rsid w:val="00302F5F"/>
    <w:rsid w:val="0030441D"/>
    <w:rsid w:val="00306063"/>
    <w:rsid w:val="00313B85"/>
    <w:rsid w:val="0031649B"/>
    <w:rsid w:val="00317988"/>
    <w:rsid w:val="003221B4"/>
    <w:rsid w:val="0032258D"/>
    <w:rsid w:val="00322E62"/>
    <w:rsid w:val="00324D13"/>
    <w:rsid w:val="00324EDD"/>
    <w:rsid w:val="00330DFE"/>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308"/>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63A9"/>
    <w:rsid w:val="00470775"/>
    <w:rsid w:val="004746B1"/>
    <w:rsid w:val="0047583F"/>
    <w:rsid w:val="00475DE8"/>
    <w:rsid w:val="004768C3"/>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4B67"/>
    <w:rsid w:val="004C1FBC"/>
    <w:rsid w:val="004C25A2"/>
    <w:rsid w:val="004C3F1D"/>
    <w:rsid w:val="004C458D"/>
    <w:rsid w:val="004C7556"/>
    <w:rsid w:val="004C7E8B"/>
    <w:rsid w:val="004C7E9D"/>
    <w:rsid w:val="004C7F67"/>
    <w:rsid w:val="004D076D"/>
    <w:rsid w:val="004D0EF1"/>
    <w:rsid w:val="004D2253"/>
    <w:rsid w:val="004D4406"/>
    <w:rsid w:val="004D5758"/>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2418"/>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280"/>
    <w:rsid w:val="006A07AA"/>
    <w:rsid w:val="006A25E5"/>
    <w:rsid w:val="006A2B46"/>
    <w:rsid w:val="006A336D"/>
    <w:rsid w:val="006A37B9"/>
    <w:rsid w:val="006B2672"/>
    <w:rsid w:val="006B54BF"/>
    <w:rsid w:val="006B5F44"/>
    <w:rsid w:val="006B5F90"/>
    <w:rsid w:val="006B62E4"/>
    <w:rsid w:val="006C1BBA"/>
    <w:rsid w:val="006C2079"/>
    <w:rsid w:val="006C24B0"/>
    <w:rsid w:val="006C5A62"/>
    <w:rsid w:val="006C5D68"/>
    <w:rsid w:val="006C6976"/>
    <w:rsid w:val="006C6DD0"/>
    <w:rsid w:val="006D04EA"/>
    <w:rsid w:val="006D16C4"/>
    <w:rsid w:val="006D3E96"/>
    <w:rsid w:val="006D4515"/>
    <w:rsid w:val="006D4BB1"/>
    <w:rsid w:val="006D6593"/>
    <w:rsid w:val="006E3218"/>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33B7"/>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A02"/>
    <w:rsid w:val="00870DA1"/>
    <w:rsid w:val="00873C5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A7F88"/>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6A31"/>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3061"/>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2D8A"/>
    <w:rsid w:val="00A93B09"/>
    <w:rsid w:val="00A952D7"/>
    <w:rsid w:val="00A963F7"/>
    <w:rsid w:val="00A96AD8"/>
    <w:rsid w:val="00AA052C"/>
    <w:rsid w:val="00AA1E45"/>
    <w:rsid w:val="00AA4286"/>
    <w:rsid w:val="00AA456B"/>
    <w:rsid w:val="00AA57F5"/>
    <w:rsid w:val="00AA672E"/>
    <w:rsid w:val="00AA6EC9"/>
    <w:rsid w:val="00AB482F"/>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6900"/>
    <w:rsid w:val="00B87131"/>
    <w:rsid w:val="00B939B1"/>
    <w:rsid w:val="00B96D40"/>
    <w:rsid w:val="00B97386"/>
    <w:rsid w:val="00BA263B"/>
    <w:rsid w:val="00BA42B2"/>
    <w:rsid w:val="00BA58D4"/>
    <w:rsid w:val="00BA5B9E"/>
    <w:rsid w:val="00BA7C9A"/>
    <w:rsid w:val="00BB5F8F"/>
    <w:rsid w:val="00BB657A"/>
    <w:rsid w:val="00BC1A4E"/>
    <w:rsid w:val="00BC5025"/>
    <w:rsid w:val="00BC5DC7"/>
    <w:rsid w:val="00BC6B8B"/>
    <w:rsid w:val="00BC73D8"/>
    <w:rsid w:val="00BD52D7"/>
    <w:rsid w:val="00BD5AD2"/>
    <w:rsid w:val="00BE22F3"/>
    <w:rsid w:val="00BE2F0E"/>
    <w:rsid w:val="00BE5B52"/>
    <w:rsid w:val="00BE7B8D"/>
    <w:rsid w:val="00BF0993"/>
    <w:rsid w:val="00BF10A9"/>
    <w:rsid w:val="00BF1703"/>
    <w:rsid w:val="00BF1995"/>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280D"/>
    <w:rsid w:val="00C6329F"/>
    <w:rsid w:val="00C63340"/>
    <w:rsid w:val="00C643F9"/>
    <w:rsid w:val="00C64E95"/>
    <w:rsid w:val="00C71372"/>
    <w:rsid w:val="00C71783"/>
    <w:rsid w:val="00C72410"/>
    <w:rsid w:val="00C72725"/>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1047"/>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6C2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17A5"/>
    <w:rsid w:val="00EA58D1"/>
    <w:rsid w:val="00EA61BC"/>
    <w:rsid w:val="00EA681A"/>
    <w:rsid w:val="00EA735B"/>
    <w:rsid w:val="00EB1E69"/>
    <w:rsid w:val="00EB2086"/>
    <w:rsid w:val="00EB31ED"/>
    <w:rsid w:val="00EB5EDF"/>
    <w:rsid w:val="00EB60FE"/>
    <w:rsid w:val="00EB74DB"/>
    <w:rsid w:val="00EC5359"/>
    <w:rsid w:val="00EC562A"/>
    <w:rsid w:val="00EC5FA4"/>
    <w:rsid w:val="00ED067A"/>
    <w:rsid w:val="00ED1EAC"/>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0793"/>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2B90"/>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A7E06"/>
    <w:rsid w:val="00FB0CB9"/>
    <w:rsid w:val="00FB231D"/>
    <w:rsid w:val="00FB45F1"/>
    <w:rsid w:val="00FB4A72"/>
    <w:rsid w:val="00FB5087"/>
    <w:rsid w:val="00FB54E8"/>
    <w:rsid w:val="00FB7054"/>
    <w:rsid w:val="00FC17B7"/>
    <w:rsid w:val="00FC2CB7"/>
    <w:rsid w:val="00FC4090"/>
    <w:rsid w:val="00FC55B4"/>
    <w:rsid w:val="00FD00E6"/>
    <w:rsid w:val="00FD09A1"/>
    <w:rsid w:val="00FD2A7C"/>
    <w:rsid w:val="00FD4C34"/>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657F87"/>
    <w:rsid w:val="08325F5B"/>
    <w:rsid w:val="0C5910DA"/>
    <w:rsid w:val="0CA7378A"/>
    <w:rsid w:val="0FA96169"/>
    <w:rsid w:val="13343D13"/>
    <w:rsid w:val="139C375A"/>
    <w:rsid w:val="15AD04A2"/>
    <w:rsid w:val="15F668BF"/>
    <w:rsid w:val="163E65C6"/>
    <w:rsid w:val="194E4DF6"/>
    <w:rsid w:val="1DA607A6"/>
    <w:rsid w:val="1F1510EE"/>
    <w:rsid w:val="21DF76AE"/>
    <w:rsid w:val="24B467E0"/>
    <w:rsid w:val="25D642EC"/>
    <w:rsid w:val="269731C7"/>
    <w:rsid w:val="2AAB0337"/>
    <w:rsid w:val="2C992EF2"/>
    <w:rsid w:val="2D5D6AD0"/>
    <w:rsid w:val="2FF10C08"/>
    <w:rsid w:val="2FF564B6"/>
    <w:rsid w:val="303A4586"/>
    <w:rsid w:val="34654E8A"/>
    <w:rsid w:val="35D24FC9"/>
    <w:rsid w:val="36220A30"/>
    <w:rsid w:val="38313D16"/>
    <w:rsid w:val="3B6A2481"/>
    <w:rsid w:val="3E7D041D"/>
    <w:rsid w:val="450420AB"/>
    <w:rsid w:val="45A17AF7"/>
    <w:rsid w:val="4BB96A3B"/>
    <w:rsid w:val="4BDE7B77"/>
    <w:rsid w:val="4EA77F16"/>
    <w:rsid w:val="4F6F7BB7"/>
    <w:rsid w:val="50242539"/>
    <w:rsid w:val="50336528"/>
    <w:rsid w:val="50907D15"/>
    <w:rsid w:val="529717ED"/>
    <w:rsid w:val="5BA1754B"/>
    <w:rsid w:val="5DDE1F51"/>
    <w:rsid w:val="5DED046B"/>
    <w:rsid w:val="5E6D1D55"/>
    <w:rsid w:val="5E785E24"/>
    <w:rsid w:val="6AD56249"/>
    <w:rsid w:val="6BA71C59"/>
    <w:rsid w:val="6BD77D30"/>
    <w:rsid w:val="6DC405CB"/>
    <w:rsid w:val="70EB0CF0"/>
    <w:rsid w:val="73D20736"/>
    <w:rsid w:val="74B16C13"/>
    <w:rsid w:val="76133AC7"/>
    <w:rsid w:val="767D4FA7"/>
    <w:rsid w:val="79BF0DCE"/>
    <w:rsid w:val="79E04508"/>
    <w:rsid w:val="7A342C8D"/>
    <w:rsid w:val="7BB50761"/>
    <w:rsid w:val="7DF25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8"/>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toc 8"/>
    <w:basedOn w:val="1"/>
    <w:next w:val="1"/>
    <w:unhideWhenUsed/>
    <w:qFormat/>
    <w:uiPriority w:val="39"/>
    <w:pPr>
      <w:adjustRightInd/>
      <w:spacing w:line="240" w:lineRule="auto"/>
      <w:ind w:left="2940" w:leftChars="1400"/>
    </w:pPr>
    <w:rPr>
      <w:rFonts w:asciiTheme="minorHAnsi" w:hAnsiTheme="minorHAnsi" w:eastAsiaTheme="minorEastAsia" w:cstheme="minorBidi"/>
      <w:szCs w:val="22"/>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oc 9"/>
    <w:basedOn w:val="1"/>
    <w:next w:val="1"/>
    <w:unhideWhenUsed/>
    <w:qFormat/>
    <w:uiPriority w:val="39"/>
    <w:pPr>
      <w:adjustRightInd/>
      <w:spacing w:line="240" w:lineRule="auto"/>
      <w:ind w:left="3360" w:leftChars="1600"/>
    </w:pPr>
    <w:rPr>
      <w:rFonts w:asciiTheme="minorHAnsi" w:hAnsiTheme="minorHAnsi" w:eastAsiaTheme="minorEastAsia" w:cstheme="minorBidi"/>
      <w:szCs w:val="22"/>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rFonts w:ascii="Times New Roman" w:hAnsi="Times New Roman" w:eastAsia="宋体" w:cs="Times New Roman"/>
      <w:b/>
      <w:bCs/>
      <w:kern w:val="44"/>
      <w:sz w:val="44"/>
      <w:szCs w:val="44"/>
    </w:rPr>
  </w:style>
  <w:style w:type="character" w:customStyle="1" w:styleId="37">
    <w:name w:val="标题 2 字符"/>
    <w:link w:val="3"/>
    <w:qFormat/>
    <w:uiPriority w:val="0"/>
    <w:rPr>
      <w:rFonts w:ascii="Arial" w:hAnsi="Arial" w:eastAsia="黑体" w:cs="Times New Roman"/>
      <w:b/>
      <w:bCs/>
      <w:sz w:val="32"/>
      <w:szCs w:val="32"/>
    </w:rPr>
  </w:style>
  <w:style w:type="character" w:customStyle="1" w:styleId="38">
    <w:name w:val="标题 3 字符"/>
    <w:link w:val="4"/>
    <w:qFormat/>
    <w:uiPriority w:val="0"/>
    <w:rPr>
      <w:rFonts w:ascii="Times New Roman" w:hAnsi="Times New Roman" w:eastAsia="宋体" w:cs="Times New Roman"/>
      <w:b/>
      <w:bCs/>
      <w:sz w:val="32"/>
      <w:szCs w:val="32"/>
    </w:rPr>
  </w:style>
  <w:style w:type="character" w:customStyle="1" w:styleId="39">
    <w:name w:val="标题 4 字符"/>
    <w:link w:val="5"/>
    <w:qFormat/>
    <w:uiPriority w:val="0"/>
    <w:rPr>
      <w:rFonts w:ascii="Arial" w:hAnsi="Arial" w:eastAsia="黑体" w:cs="Times New Roman"/>
      <w:b/>
      <w:bCs/>
      <w:sz w:val="28"/>
      <w:szCs w:val="28"/>
    </w:rPr>
  </w:style>
  <w:style w:type="character" w:customStyle="1" w:styleId="40">
    <w:name w:val="标题 5 字符"/>
    <w:link w:val="6"/>
    <w:qFormat/>
    <w:uiPriority w:val="0"/>
    <w:rPr>
      <w:rFonts w:ascii="Times New Roman" w:hAnsi="Times New Roman" w:eastAsia="宋体" w:cs="Times New Roman"/>
      <w:b/>
      <w:bCs/>
      <w:sz w:val="28"/>
      <w:szCs w:val="28"/>
    </w:rPr>
  </w:style>
  <w:style w:type="character" w:customStyle="1" w:styleId="41">
    <w:name w:val="标题 6 字符"/>
    <w:link w:val="7"/>
    <w:qFormat/>
    <w:uiPriority w:val="0"/>
    <w:rPr>
      <w:rFonts w:ascii="Arial" w:hAnsi="Arial" w:eastAsia="黑体" w:cs="Times New Roman"/>
      <w:b/>
      <w:bCs/>
      <w:sz w:val="24"/>
      <w:szCs w:val="24"/>
    </w:rPr>
  </w:style>
  <w:style w:type="character" w:customStyle="1" w:styleId="42">
    <w:name w:val="标题 7 字符"/>
    <w:link w:val="8"/>
    <w:qFormat/>
    <w:uiPriority w:val="0"/>
    <w:rPr>
      <w:rFonts w:ascii="Times New Roman" w:hAnsi="Times New Roman" w:eastAsia="宋体" w:cs="Times New Roman"/>
      <w:b/>
      <w:bCs/>
      <w:sz w:val="24"/>
      <w:szCs w:val="24"/>
    </w:rPr>
  </w:style>
  <w:style w:type="character" w:customStyle="1" w:styleId="43">
    <w:name w:val="标题 8 字符"/>
    <w:link w:val="9"/>
    <w:qFormat/>
    <w:uiPriority w:val="0"/>
    <w:rPr>
      <w:rFonts w:ascii="Arial" w:hAnsi="Arial" w:eastAsia="黑体" w:cs="Times New Roman"/>
      <w:sz w:val="24"/>
      <w:szCs w:val="24"/>
    </w:rPr>
  </w:style>
  <w:style w:type="character" w:customStyle="1" w:styleId="44">
    <w:name w:val="标题 9 字符"/>
    <w:link w:val="10"/>
    <w:qFormat/>
    <w:uiPriority w:val="0"/>
    <w:rPr>
      <w:rFonts w:ascii="Arial" w:hAnsi="Arial" w:eastAsia="黑体" w:cs="Times New Roman"/>
      <w:szCs w:val="21"/>
    </w:rPr>
  </w:style>
  <w:style w:type="character" w:customStyle="1" w:styleId="45">
    <w:name w:val="页眉 字符"/>
    <w:link w:val="19"/>
    <w:qFormat/>
    <w:uiPriority w:val="99"/>
    <w:rPr>
      <w:rFonts w:ascii="Times New Roman" w:hAnsi="Times New Roman" w:eastAsia="宋体" w:cs="Times New Roman"/>
      <w:sz w:val="18"/>
      <w:szCs w:val="18"/>
    </w:rPr>
  </w:style>
  <w:style w:type="character" w:customStyle="1" w:styleId="46">
    <w:name w:val="页脚 字符"/>
    <w:link w:val="18"/>
    <w:qFormat/>
    <w:uiPriority w:val="99"/>
    <w:rPr>
      <w:rFonts w:ascii="宋体" w:hAnsi="Times New Roman" w:eastAsia="宋体" w:cs="Times New Roman"/>
      <w:sz w:val="18"/>
      <w:szCs w:val="18"/>
    </w:rPr>
  </w:style>
  <w:style w:type="character" w:customStyle="1" w:styleId="47">
    <w:name w:val="批注框文本 字符"/>
    <w:link w:val="17"/>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rPr>
  </w:style>
  <w:style w:type="character" w:customStyle="1" w:styleId="50">
    <w:name w:val="标题 字符"/>
    <w:link w:val="27"/>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3"/>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pPr>
  </w:style>
  <w:style w:type="paragraph" w:customStyle="1" w:styleId="93">
    <w:name w:val="标准文件_目录标题"/>
    <w:basedOn w:val="1"/>
    <w:qFormat/>
    <w:uiPriority w:val="0"/>
    <w:pPr>
      <w:spacing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ind w:left="0" w:firstLine="200"/>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hAnsi="Times New Roman" w:eastAsia="宋体" w:cs="Times New Roman"/>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next w:val="1"/>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vAnchor="page" w:hAnchor="page" w:x="1419" w:y="14097"/>
    </w:pPr>
  </w:style>
  <w:style w:type="paragraph" w:customStyle="1" w:styleId="196">
    <w:name w:val="其他实施日期"/>
    <w:basedOn w:val="156"/>
    <w:qFormat/>
    <w:uiPriority w:val="0"/>
    <w:pPr>
      <w:framePr w:w="3997" w:h="471" w:hRule="exact" w:vSpace="181"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next w:val="58"/>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character" w:customStyle="1" w:styleId="232">
    <w:name w:val="未处理的提及1"/>
    <w:basedOn w:val="30"/>
    <w:semiHidden/>
    <w:unhideWhenUsed/>
    <w:qFormat/>
    <w:uiPriority w:val="99"/>
    <w:rPr>
      <w:color w:val="605E5C"/>
      <w:shd w:val="clear" w:color="auto" w:fill="E1DFDD"/>
    </w:rPr>
  </w:style>
  <w:style w:type="paragraph" w:customStyle="1" w:styleId="23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4">
    <w:name w:val="一级条标题"/>
    <w:basedOn w:val="235"/>
    <w:next w:val="233"/>
    <w:qFormat/>
    <w:uiPriority w:val="0"/>
    <w:pPr>
      <w:numPr>
        <w:ilvl w:val="1"/>
        <w:numId w:val="32"/>
      </w:numPr>
      <w:spacing w:before="163" w:beforeLines="50" w:after="163" w:afterLines="50"/>
      <w:outlineLvl w:val="2"/>
    </w:pPr>
    <w:rPr>
      <w:rFonts w:ascii="黑体" w:hAnsi="Times New Roman" w:eastAsia="黑体" w:cs="Times New Roman"/>
      <w:sz w:val="21"/>
      <w:szCs w:val="21"/>
      <w:lang w:val="en-US" w:eastAsia="zh-CN" w:bidi="ar-SA"/>
    </w:rPr>
  </w:style>
  <w:style w:type="paragraph" w:customStyle="1" w:styleId="235">
    <w:name w:val="章标题"/>
    <w:next w:val="233"/>
    <w:qFormat/>
    <w:uiPriority w:val="99"/>
    <w:pPr>
      <w:numPr>
        <w:ilvl w:val="0"/>
        <w:numId w:val="32"/>
      </w:numPr>
      <w:spacing w:before="326" w:beforeLines="100" w:after="326" w:afterLines="100"/>
      <w:jc w:val="both"/>
      <w:outlineLvl w:val="1"/>
    </w:pPr>
    <w:rPr>
      <w:rFonts w:ascii="黑体" w:hAnsi="Times New Roman" w:eastAsia="黑体" w:cs="Times New Roman"/>
      <w:sz w:val="21"/>
      <w:lang w:val="en-US" w:eastAsia="zh-CN" w:bidi="ar-SA"/>
    </w:rPr>
  </w:style>
  <w:style w:type="paragraph" w:customStyle="1" w:styleId="236">
    <w:name w:val="二级无"/>
    <w:basedOn w:val="237"/>
    <w:qFormat/>
    <w:uiPriority w:val="0"/>
    <w:pPr>
      <w:spacing w:before="0" w:beforeLines="0" w:after="0" w:afterLines="0"/>
    </w:pPr>
    <w:rPr>
      <w:rFonts w:ascii="宋体" w:eastAsia="宋体"/>
    </w:rPr>
  </w:style>
  <w:style w:type="paragraph" w:customStyle="1" w:styleId="237">
    <w:name w:val="二级条标题"/>
    <w:basedOn w:val="234"/>
    <w:next w:val="233"/>
    <w:qFormat/>
    <w:uiPriority w:val="99"/>
    <w:pPr>
      <w:numPr>
        <w:ilvl w:val="2"/>
      </w:numPr>
      <w:spacing w:before="50" w:after="50"/>
      <w:outlineLvl w:val="3"/>
    </w:pPr>
  </w:style>
  <w:style w:type="paragraph" w:customStyle="1" w:styleId="238">
    <w:name w:val="一级无"/>
    <w:basedOn w:val="234"/>
    <w:qFormat/>
    <w:uiPriority w:val="0"/>
    <w:pPr>
      <w:spacing w:beforeLines="0" w:afterLines="0"/>
      <w:ind w:left="0"/>
    </w:pPr>
    <w:rPr>
      <w:rFonts w:ascii="宋体" w:hAnsi="宋体" w:eastAsia="宋体"/>
    </w:rPr>
  </w:style>
  <w:style w:type="paragraph" w:customStyle="1" w:styleId="239">
    <w:name w:val="三级无"/>
    <w:basedOn w:val="240"/>
    <w:qFormat/>
    <w:uiPriority w:val="0"/>
    <w:pPr>
      <w:spacing w:beforeLines="0" w:afterLines="0"/>
    </w:pPr>
    <w:rPr>
      <w:rFonts w:ascii="宋体" w:eastAsia="宋体"/>
    </w:rPr>
  </w:style>
  <w:style w:type="paragraph" w:customStyle="1" w:styleId="240">
    <w:name w:val="三级条标题"/>
    <w:basedOn w:val="237"/>
    <w:next w:val="233"/>
    <w:qFormat/>
    <w:uiPriority w:val="0"/>
    <w:pPr>
      <w:numPr>
        <w:ilvl w:val="3"/>
      </w:numPr>
      <w:outlineLvl w:val="4"/>
    </w:pPr>
  </w:style>
  <w:style w:type="paragraph" w:customStyle="1" w:styleId="241">
    <w:name w:val="附录章标题"/>
    <w:next w:val="233"/>
    <w:qFormat/>
    <w:uiPriority w:val="0"/>
    <w:pPr>
      <w:numPr>
        <w:ilvl w:val="1"/>
        <w:numId w:val="4"/>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42">
    <w:name w:val="附录一级条标题"/>
    <w:basedOn w:val="241"/>
    <w:next w:val="233"/>
    <w:qFormat/>
    <w:uiPriority w:val="0"/>
    <w:pPr>
      <w:numPr>
        <w:ilvl w:val="2"/>
      </w:numPr>
      <w:autoSpaceDN w:val="0"/>
      <w:spacing w:beforeLines="50" w:afterLines="50"/>
      <w:outlineLvl w:val="2"/>
    </w:pPr>
  </w:style>
  <w:style w:type="paragraph" w:customStyle="1" w:styleId="243">
    <w:name w:val="正文表标题"/>
    <w:next w:val="233"/>
    <w:qFormat/>
    <w:uiPriority w:val="0"/>
    <w:pPr>
      <w:numPr>
        <w:ilvl w:val="0"/>
        <w:numId w:val="33"/>
      </w:numPr>
      <w:spacing w:beforeLines="50" w:afterLines="50"/>
      <w:ind w:left="0"/>
      <w:jc w:val="center"/>
    </w:pPr>
    <w:rPr>
      <w:rFonts w:ascii="黑体" w:hAnsi="Times New Roman" w:eastAsia="黑体" w:cs="Times New Roman"/>
      <w:sz w:val="21"/>
      <w:lang w:val="en-US" w:eastAsia="zh-CN" w:bidi="ar-SA"/>
    </w:rPr>
  </w:style>
  <w:style w:type="character" w:customStyle="1" w:styleId="244">
    <w:name w:val="附录公式编号制表符 Char"/>
    <w:link w:val="245"/>
    <w:qFormat/>
    <w:uiPriority w:val="0"/>
    <w:rPr>
      <w:rFonts w:ascii="宋体" w:hAnsi="Times New Roman" w:cs="Times New Roman"/>
      <w:kern w:val="0"/>
      <w:szCs w:val="20"/>
    </w:rPr>
  </w:style>
  <w:style w:type="paragraph" w:customStyle="1" w:styleId="245">
    <w:name w:val="附录公式编号制表符"/>
    <w:basedOn w:val="1"/>
    <w:next w:val="233"/>
    <w:link w:val="244"/>
    <w:qFormat/>
    <w:uiPriority w:val="0"/>
    <w:pPr>
      <w:widowControl/>
      <w:tabs>
        <w:tab w:val="center" w:pos="4201"/>
        <w:tab w:val="right" w:leader="dot" w:pos="9298"/>
      </w:tabs>
      <w:autoSpaceDE w:val="0"/>
      <w:autoSpaceDN w:val="0"/>
    </w:pPr>
    <w:rPr>
      <w:rFonts w:ascii="宋体" w:hAnsi="Times New Roman" w:cs="Times New Roman"/>
      <w:kern w:val="0"/>
      <w:szCs w:val="20"/>
    </w:rPr>
  </w:style>
  <w:style w:type="paragraph" w:customStyle="1" w:styleId="246">
    <w:name w:val="附录：注（不带编号）"/>
    <w:basedOn w:val="1"/>
    <w:qFormat/>
    <w:uiPriority w:val="0"/>
    <w:pPr>
      <w:numPr>
        <w:ilvl w:val="0"/>
        <w:numId w:val="34"/>
      </w:numPr>
      <w:ind w:left="743"/>
    </w:pPr>
    <w:rPr>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05AE330FA954AFFB0E59532AC80D7B2"/>
        <w:style w:val=""/>
        <w:category>
          <w:name w:val="常规"/>
          <w:gallery w:val="placeholder"/>
        </w:category>
        <w:types>
          <w:type w:val="bbPlcHdr"/>
        </w:types>
        <w:behaviors>
          <w:behavior w:val="content"/>
        </w:behaviors>
        <w:description w:val=""/>
        <w:guid w:val="{701FD4A0-3DE5-457F-BC0F-E8BAF38B844D}"/>
      </w:docPartPr>
      <w:docPartBody>
        <w:p>
          <w:pPr>
            <w:pStyle w:val="5"/>
          </w:pPr>
          <w:r>
            <w:rPr>
              <w:rStyle w:val="4"/>
              <w:rFonts w:hint="eastAsia"/>
            </w:rPr>
            <w:t>单击或点击此处输入文字。</w:t>
          </w:r>
        </w:p>
      </w:docPartBody>
    </w:docPart>
    <w:docPart>
      <w:docPartPr>
        <w:name w:val="EBDF80A13ED14C00B96A5DD97430634B"/>
        <w:style w:val=""/>
        <w:category>
          <w:name w:val="常规"/>
          <w:gallery w:val="placeholder"/>
        </w:category>
        <w:types>
          <w:type w:val="bbPlcHdr"/>
        </w:types>
        <w:behaviors>
          <w:behavior w:val="content"/>
        </w:behaviors>
        <w:description w:val=""/>
        <w:guid w:val="{F1729487-2BE0-4214-ACCF-88460DBF94D7}"/>
      </w:docPartPr>
      <w:docPartBody>
        <w:p>
          <w:pPr>
            <w:pStyle w:val="6"/>
          </w:pPr>
          <w:r>
            <w:rPr>
              <w:rStyle w:val="4"/>
              <w:rFonts w:hint="eastAsia"/>
            </w:rPr>
            <w:t>选择一项。</w:t>
          </w:r>
        </w:p>
      </w:docPartBody>
    </w:docPart>
    <w:docPart>
      <w:docPartPr>
        <w:name w:val="FDEB2041E3744F8B8BA933A88BD1C026"/>
        <w:style w:val=""/>
        <w:category>
          <w:name w:val="常规"/>
          <w:gallery w:val="placeholder"/>
        </w:category>
        <w:types>
          <w:type w:val="bbPlcHdr"/>
        </w:types>
        <w:behaviors>
          <w:behavior w:val="content"/>
        </w:behaviors>
        <w:description w:val=""/>
        <w:guid w:val="{FD30C36E-0DFD-468D-B358-2A3EF9D9E851}"/>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29E"/>
    <w:rsid w:val="004B6B36"/>
    <w:rsid w:val="006B7CFA"/>
    <w:rsid w:val="007A1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05AE330FA954AFFB0E59532AC80D7B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BDF80A13ED14C00B96A5DD97430634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DEB2041E3744F8B8BA933A88BD1C02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B80066-E524-4604-A54D-8FAD2BC5D2EB}">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30</Pages>
  <Words>22292</Words>
  <Characters>8785</Characters>
  <Lines>73</Lines>
  <Paragraphs>62</Paragraphs>
  <TotalTime>0</TotalTime>
  <ScaleCrop>false</ScaleCrop>
  <LinksUpToDate>false</LinksUpToDate>
  <CharactersWithSpaces>31015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2021-09-15T08:46:00Z</dcterms:created>
  <dc:creator>社保局</dc:creator>
  <dc:description>&lt;config cover="true" show_menu="true" version="1.0.0" doctype="SDKXY"&gt;_x000d_
&lt;/config&gt;</dc:description>
  <cp:lastModifiedBy>房磊</cp:lastModifiedBy>
  <cp:lastPrinted>2021-09-16T03:41:00Z</cp:lastPrinted>
  <dcterms:modified xsi:type="dcterms:W3CDTF">2022-08-04T07:01:50Z</dcterms:modified>
  <dc:title>团体标准</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2052-11.1.0.10314</vt:lpwstr>
  </property>
  <property fmtid="{D5CDD505-2E9C-101B-9397-08002B2CF9AE}" pid="15" name="ICV">
    <vt:lpwstr>4D3948558639487387C8E2DCA67B38E8</vt:lpwstr>
  </property>
</Properties>
</file>